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B4" w:rsidRDefault="002A3552" w:rsidP="001B68F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34EBC">
        <w:rPr>
          <w:rFonts w:ascii="Times New Roman" w:hAnsi="Times New Roman"/>
          <w:b/>
          <w:sz w:val="24"/>
          <w:szCs w:val="24"/>
        </w:rPr>
        <w:t xml:space="preserve">Informacje </w:t>
      </w:r>
    </w:p>
    <w:p w:rsidR="002A3552" w:rsidRPr="00B34EBC" w:rsidRDefault="002A3552" w:rsidP="001B68F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34EBC">
        <w:rPr>
          <w:rFonts w:ascii="Times New Roman" w:hAnsi="Times New Roman"/>
          <w:b/>
          <w:sz w:val="24"/>
          <w:szCs w:val="24"/>
        </w:rPr>
        <w:t>o charakterze jakościowym dotyczące adekwatności kapitałowej</w:t>
      </w:r>
    </w:p>
    <w:p w:rsidR="002A3552" w:rsidRPr="0099069E" w:rsidRDefault="002A3552" w:rsidP="001B68FE">
      <w:pPr>
        <w:spacing w:after="0" w:line="240" w:lineRule="auto"/>
        <w:ind w:left="10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06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Banku Spółdzielczego w </w:t>
      </w:r>
      <w:r w:rsidR="0099069E" w:rsidRPr="0099069E">
        <w:rPr>
          <w:rFonts w:ascii="Times New Roman" w:hAnsi="Times New Roman"/>
          <w:b/>
          <w:color w:val="000000" w:themeColor="text1"/>
          <w:sz w:val="24"/>
          <w:szCs w:val="24"/>
        </w:rPr>
        <w:t>Chłopicach</w:t>
      </w:r>
    </w:p>
    <w:p w:rsidR="001B68FE" w:rsidRDefault="001B68FE" w:rsidP="00B34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552" w:rsidRPr="00B34EBC" w:rsidRDefault="002E2CB0" w:rsidP="00B34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strategiczne oraz z</w:t>
      </w:r>
      <w:r w:rsidR="00DD04E7" w:rsidRPr="00B34EBC">
        <w:rPr>
          <w:rFonts w:ascii="Times New Roman" w:hAnsi="Times New Roman"/>
          <w:b/>
          <w:sz w:val="24"/>
          <w:szCs w:val="24"/>
        </w:rPr>
        <w:t>asady zarządzania ryzykiem istotnym</w:t>
      </w:r>
    </w:p>
    <w:p w:rsidR="00DD04E7" w:rsidRPr="00B34EBC" w:rsidRDefault="00DD04E7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3552" w:rsidRPr="00B34EBC" w:rsidRDefault="002A3552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Każda aktywność podejmowana przez </w:t>
      </w:r>
      <w:r w:rsidRPr="0099069E">
        <w:rPr>
          <w:rFonts w:ascii="Times New Roman" w:hAnsi="Times New Roman"/>
          <w:color w:val="000000" w:themeColor="text1"/>
          <w:sz w:val="24"/>
          <w:szCs w:val="24"/>
        </w:rPr>
        <w:t xml:space="preserve">Bank Spółdzielczy w </w:t>
      </w:r>
      <w:r w:rsidR="0099069E" w:rsidRPr="0099069E">
        <w:rPr>
          <w:rFonts w:ascii="Times New Roman" w:hAnsi="Times New Roman"/>
          <w:color w:val="000000" w:themeColor="text1"/>
          <w:sz w:val="24"/>
          <w:szCs w:val="24"/>
        </w:rPr>
        <w:t>Chłopicach</w:t>
      </w:r>
      <w:r w:rsidRPr="00B34EBC">
        <w:rPr>
          <w:rFonts w:ascii="Times New Roman" w:hAnsi="Times New Roman"/>
          <w:sz w:val="24"/>
          <w:szCs w:val="24"/>
        </w:rPr>
        <w:t>,</w:t>
      </w:r>
      <w:r w:rsidR="0031014E" w:rsidRPr="00B34EBC">
        <w:rPr>
          <w:rFonts w:ascii="Times New Roman" w:hAnsi="Times New Roman"/>
          <w:sz w:val="24"/>
          <w:szCs w:val="24"/>
        </w:rPr>
        <w:t xml:space="preserve"> zwany dalej Bankiem</w:t>
      </w:r>
      <w:r w:rsidRPr="00B34EBC">
        <w:rPr>
          <w:rFonts w:ascii="Times New Roman" w:hAnsi="Times New Roman"/>
          <w:sz w:val="24"/>
          <w:szCs w:val="24"/>
        </w:rPr>
        <w:t xml:space="preserve"> </w:t>
      </w:r>
      <w:r w:rsidR="0031014E" w:rsidRPr="00B34EBC">
        <w:rPr>
          <w:rFonts w:ascii="Times New Roman" w:hAnsi="Times New Roman"/>
          <w:sz w:val="24"/>
          <w:szCs w:val="24"/>
        </w:rPr>
        <w:t>związana jest z</w:t>
      </w:r>
      <w:r w:rsidRPr="00B34EBC">
        <w:rPr>
          <w:rFonts w:ascii="Times New Roman" w:hAnsi="Times New Roman"/>
          <w:sz w:val="24"/>
          <w:szCs w:val="24"/>
        </w:rPr>
        <w:t xml:space="preserve"> ryzyk</w:t>
      </w:r>
      <w:r w:rsidR="0031014E" w:rsidRPr="00B34EBC">
        <w:rPr>
          <w:rFonts w:ascii="Times New Roman" w:hAnsi="Times New Roman"/>
          <w:sz w:val="24"/>
          <w:szCs w:val="24"/>
        </w:rPr>
        <w:t>iem, wynikającym między innymi ze zmian w otoczeniu regulacyjnym, gospodarczym, demograficznym, politycznym itp.</w:t>
      </w:r>
      <w:r w:rsidRPr="00B34EBC">
        <w:rPr>
          <w:rFonts w:ascii="Times New Roman" w:hAnsi="Times New Roman"/>
          <w:sz w:val="24"/>
          <w:szCs w:val="24"/>
        </w:rPr>
        <w:t xml:space="preserve"> Ostrożnościowe podejmowanie ryzyka, oznacza utrzymywanie racjonalnej równowagi pomiędzy prowadzeniem działalności przychodowej i kontrolowaniem ryzyka.</w:t>
      </w:r>
    </w:p>
    <w:p w:rsidR="002A3552" w:rsidRPr="00B34EBC" w:rsidRDefault="002A3552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Z uwagi na charakter i zakres prowadzonej działalności, najbardziej znaczącym rodzajem ryzyka</w:t>
      </w:r>
      <w:r w:rsidR="0031014E" w:rsidRPr="00B34EBC">
        <w:rPr>
          <w:rFonts w:ascii="Times New Roman" w:hAnsi="Times New Roman"/>
          <w:sz w:val="24"/>
          <w:szCs w:val="24"/>
        </w:rPr>
        <w:t xml:space="preserve"> występującym w </w:t>
      </w:r>
      <w:r w:rsidR="0031014E" w:rsidRPr="0099069E">
        <w:rPr>
          <w:rFonts w:ascii="Times New Roman" w:hAnsi="Times New Roman"/>
          <w:color w:val="000000" w:themeColor="text1"/>
          <w:sz w:val="24"/>
          <w:szCs w:val="24"/>
        </w:rPr>
        <w:t xml:space="preserve">Banku Spółdzielczym w </w:t>
      </w:r>
      <w:r w:rsidR="0099069E" w:rsidRPr="0099069E">
        <w:rPr>
          <w:rFonts w:ascii="Times New Roman" w:hAnsi="Times New Roman"/>
          <w:color w:val="000000" w:themeColor="text1"/>
          <w:sz w:val="24"/>
          <w:szCs w:val="24"/>
        </w:rPr>
        <w:t>Chłopicach</w:t>
      </w:r>
      <w:r w:rsidRPr="009906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4EBC">
        <w:rPr>
          <w:rFonts w:ascii="Times New Roman" w:hAnsi="Times New Roman"/>
          <w:sz w:val="24"/>
          <w:szCs w:val="24"/>
        </w:rPr>
        <w:t xml:space="preserve">jest </w:t>
      </w:r>
      <w:r w:rsidRPr="00B34EBC">
        <w:rPr>
          <w:rFonts w:ascii="Times New Roman" w:hAnsi="Times New Roman"/>
          <w:b/>
          <w:sz w:val="24"/>
          <w:szCs w:val="24"/>
        </w:rPr>
        <w:t>ryzyko kredytowe</w:t>
      </w:r>
      <w:r w:rsidRPr="00B34EBC">
        <w:rPr>
          <w:rFonts w:ascii="Times New Roman" w:hAnsi="Times New Roman"/>
          <w:sz w:val="24"/>
          <w:szCs w:val="24"/>
        </w:rPr>
        <w:t xml:space="preserve"> w tym</w:t>
      </w:r>
      <w:r w:rsidR="00DD04E7" w:rsidRPr="00B34EBC">
        <w:rPr>
          <w:rFonts w:ascii="Times New Roman" w:hAnsi="Times New Roman"/>
          <w:sz w:val="24"/>
          <w:szCs w:val="24"/>
        </w:rPr>
        <w:t xml:space="preserve"> ryzyko</w:t>
      </w:r>
      <w:r w:rsidRPr="00B34EBC">
        <w:rPr>
          <w:rFonts w:ascii="Times New Roman" w:hAnsi="Times New Roman"/>
          <w:sz w:val="24"/>
          <w:szCs w:val="24"/>
        </w:rPr>
        <w:t xml:space="preserve"> koncentracji, ryzyko ekspozycji</w:t>
      </w:r>
      <w:r w:rsidR="0031014E" w:rsidRPr="00B34EBC">
        <w:rPr>
          <w:rFonts w:ascii="Times New Roman" w:hAnsi="Times New Roman"/>
          <w:sz w:val="24"/>
          <w:szCs w:val="24"/>
        </w:rPr>
        <w:t xml:space="preserve"> kredytowych</w:t>
      </w:r>
      <w:r w:rsidRPr="00B34EBC">
        <w:rPr>
          <w:rFonts w:ascii="Times New Roman" w:hAnsi="Times New Roman"/>
          <w:sz w:val="24"/>
          <w:szCs w:val="24"/>
        </w:rPr>
        <w:t xml:space="preserve"> zabezpieczonych hipotecznie oraz detalic</w:t>
      </w:r>
      <w:r w:rsidR="00DD04E7" w:rsidRPr="00B34EBC">
        <w:rPr>
          <w:rFonts w:ascii="Times New Roman" w:hAnsi="Times New Roman"/>
          <w:sz w:val="24"/>
          <w:szCs w:val="24"/>
        </w:rPr>
        <w:t xml:space="preserve">znych ekspozycji kredytowych. </w:t>
      </w:r>
    </w:p>
    <w:p w:rsidR="002A3552" w:rsidRPr="00B34EBC" w:rsidRDefault="002A3552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Jednocześnie w Banku występują inne istotne ryzyka, które Bank identyfikuje</w:t>
      </w:r>
      <w:r w:rsidR="0031014E" w:rsidRPr="00B34EBC">
        <w:rPr>
          <w:rFonts w:ascii="Times New Roman" w:hAnsi="Times New Roman"/>
          <w:sz w:val="24"/>
          <w:szCs w:val="24"/>
        </w:rPr>
        <w:t xml:space="preserve"> w procesie przeglądu zarządczego szacowania kapitału wewnętrznego (ICAAP)</w:t>
      </w:r>
      <w:r w:rsidRPr="00B34EBC">
        <w:rPr>
          <w:rFonts w:ascii="Times New Roman" w:hAnsi="Times New Roman"/>
          <w:sz w:val="24"/>
          <w:szCs w:val="24"/>
        </w:rPr>
        <w:t>:</w:t>
      </w:r>
    </w:p>
    <w:p w:rsidR="002A3552" w:rsidRPr="00B34EBC" w:rsidRDefault="002A3552" w:rsidP="00B3023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34EBC">
        <w:rPr>
          <w:rFonts w:ascii="Times New Roman" w:hAnsi="Times New Roman"/>
          <w:b/>
          <w:i/>
          <w:sz w:val="24"/>
          <w:szCs w:val="24"/>
        </w:rPr>
        <w:t>ryzyko płynności</w:t>
      </w:r>
      <w:r w:rsidR="0031014E" w:rsidRPr="00B34EBC">
        <w:rPr>
          <w:rFonts w:ascii="Times New Roman" w:hAnsi="Times New Roman"/>
          <w:b/>
          <w:i/>
          <w:sz w:val="24"/>
          <w:szCs w:val="24"/>
        </w:rPr>
        <w:t>,</w:t>
      </w:r>
    </w:p>
    <w:p w:rsidR="002A3552" w:rsidRPr="00B34EBC" w:rsidRDefault="002A3552" w:rsidP="00B3023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34EBC">
        <w:rPr>
          <w:rFonts w:ascii="Times New Roman" w:hAnsi="Times New Roman"/>
          <w:b/>
          <w:i/>
          <w:sz w:val="24"/>
          <w:szCs w:val="24"/>
        </w:rPr>
        <w:t>ryzyko stopy procentowej</w:t>
      </w:r>
      <w:r w:rsidR="0031014E" w:rsidRPr="00B34EBC">
        <w:rPr>
          <w:rFonts w:ascii="Times New Roman" w:hAnsi="Times New Roman"/>
          <w:b/>
          <w:i/>
          <w:sz w:val="24"/>
          <w:szCs w:val="24"/>
        </w:rPr>
        <w:t xml:space="preserve"> w księdze bankowej,</w:t>
      </w:r>
    </w:p>
    <w:p w:rsidR="002A3552" w:rsidRPr="00B34EBC" w:rsidRDefault="002A3552" w:rsidP="00B3023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34EBC">
        <w:rPr>
          <w:rFonts w:ascii="Times New Roman" w:hAnsi="Times New Roman"/>
          <w:b/>
          <w:i/>
          <w:sz w:val="24"/>
          <w:szCs w:val="24"/>
        </w:rPr>
        <w:t>ryzyko operacyjne</w:t>
      </w:r>
      <w:r w:rsidR="0031014E" w:rsidRPr="00B34EBC">
        <w:rPr>
          <w:rFonts w:ascii="Times New Roman" w:hAnsi="Times New Roman"/>
          <w:b/>
          <w:i/>
          <w:sz w:val="24"/>
          <w:szCs w:val="24"/>
        </w:rPr>
        <w:t>,</w:t>
      </w:r>
    </w:p>
    <w:p w:rsidR="002A3552" w:rsidRPr="00B34EBC" w:rsidRDefault="002A3552" w:rsidP="00B3023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34EBC">
        <w:rPr>
          <w:rFonts w:ascii="Times New Roman" w:hAnsi="Times New Roman"/>
          <w:b/>
          <w:i/>
          <w:sz w:val="24"/>
          <w:szCs w:val="24"/>
        </w:rPr>
        <w:t>ryzyko wyniku finansowego</w:t>
      </w:r>
      <w:r w:rsidR="0031014E" w:rsidRPr="00B34EBC">
        <w:rPr>
          <w:rFonts w:ascii="Times New Roman" w:hAnsi="Times New Roman"/>
          <w:b/>
          <w:i/>
          <w:sz w:val="24"/>
          <w:szCs w:val="24"/>
        </w:rPr>
        <w:t>,</w:t>
      </w:r>
    </w:p>
    <w:p w:rsidR="0031014E" w:rsidRPr="00B34EBC" w:rsidRDefault="0031014E" w:rsidP="00B3023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34EBC">
        <w:rPr>
          <w:rFonts w:ascii="Times New Roman" w:hAnsi="Times New Roman"/>
          <w:b/>
          <w:i/>
          <w:sz w:val="24"/>
          <w:szCs w:val="24"/>
        </w:rPr>
        <w:t>ryzyko kapitałowe.</w:t>
      </w:r>
    </w:p>
    <w:p w:rsidR="002A3552" w:rsidRPr="00B34EBC" w:rsidRDefault="002A3552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Podstawowe zasady zarządzania poszczególnymi ryzykami reguluje Strategia oraz zatwierdzone przez Zarząd Banku polityki, instrukcje i regulaminy obejmujące obszary ryzyka, które Bank uznał za istotne. </w:t>
      </w:r>
    </w:p>
    <w:p w:rsidR="002A3552" w:rsidRPr="00B34EBC" w:rsidRDefault="002A3552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Proces zarządzania poszczególnymi rodzajami ryzyka obejmuje:</w:t>
      </w:r>
    </w:p>
    <w:p w:rsidR="002A3552" w:rsidRPr="00B34EBC" w:rsidRDefault="002A3552" w:rsidP="001B68F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Gromadzeni</w:t>
      </w:r>
      <w:r w:rsidR="0051540A" w:rsidRPr="00B34EBC">
        <w:rPr>
          <w:rFonts w:ascii="Times New Roman" w:hAnsi="Times New Roman"/>
          <w:sz w:val="24"/>
          <w:szCs w:val="24"/>
        </w:rPr>
        <w:t>e</w:t>
      </w:r>
      <w:r w:rsidRPr="00B34EBC">
        <w:rPr>
          <w:rFonts w:ascii="Times New Roman" w:hAnsi="Times New Roman"/>
          <w:sz w:val="24"/>
          <w:szCs w:val="24"/>
        </w:rPr>
        <w:t xml:space="preserve"> informacji dotyczących ryzyka,</w:t>
      </w:r>
    </w:p>
    <w:p w:rsidR="002A3552" w:rsidRPr="00B34EBC" w:rsidRDefault="0051540A" w:rsidP="001B68F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Ograniczanie</w:t>
      </w:r>
      <w:r w:rsidR="002A3552" w:rsidRPr="00B34EBC">
        <w:rPr>
          <w:rFonts w:ascii="Times New Roman" w:hAnsi="Times New Roman"/>
          <w:sz w:val="24"/>
          <w:szCs w:val="24"/>
        </w:rPr>
        <w:t xml:space="preserve"> ryzyka, powstającego w działalności Banku do akceptowanego poziomu,</w:t>
      </w:r>
    </w:p>
    <w:p w:rsidR="002A3552" w:rsidRPr="00B34EBC" w:rsidRDefault="002A3552" w:rsidP="001B68F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Podejmowani</w:t>
      </w:r>
      <w:r w:rsidR="0051540A" w:rsidRPr="00B34EBC">
        <w:rPr>
          <w:rFonts w:ascii="Times New Roman" w:hAnsi="Times New Roman"/>
          <w:sz w:val="24"/>
          <w:szCs w:val="24"/>
        </w:rPr>
        <w:t>e</w:t>
      </w:r>
      <w:r w:rsidRPr="00B34EBC">
        <w:rPr>
          <w:rFonts w:ascii="Times New Roman" w:hAnsi="Times New Roman"/>
          <w:sz w:val="24"/>
          <w:szCs w:val="24"/>
        </w:rPr>
        <w:t xml:space="preserve"> działań zmierzających do ograniczenia liczby i skali występujących zagrożeń,</w:t>
      </w:r>
    </w:p>
    <w:p w:rsidR="002A3552" w:rsidRPr="00B34EBC" w:rsidRDefault="0051540A" w:rsidP="001B68F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Ograniczanie /eliminowanie</w:t>
      </w:r>
      <w:r w:rsidR="002A3552" w:rsidRPr="00B34EBC">
        <w:rPr>
          <w:rFonts w:ascii="Times New Roman" w:hAnsi="Times New Roman"/>
          <w:sz w:val="24"/>
          <w:szCs w:val="24"/>
        </w:rPr>
        <w:t xml:space="preserve">  negatywnych skutków ryzyka.</w:t>
      </w:r>
    </w:p>
    <w:p w:rsidR="002A3552" w:rsidRPr="00B34EBC" w:rsidRDefault="002A3552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3552" w:rsidRPr="00B34EBC" w:rsidRDefault="0051540A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Cele strategiczne w zakresie zarządzania poszczególnymi rodzajami ryzyka </w:t>
      </w:r>
      <w:r w:rsidR="002A3552" w:rsidRPr="00B34EBC">
        <w:rPr>
          <w:rFonts w:ascii="Times New Roman" w:hAnsi="Times New Roman"/>
          <w:sz w:val="24"/>
          <w:szCs w:val="24"/>
        </w:rPr>
        <w:t xml:space="preserve">Bank </w:t>
      </w:r>
      <w:r w:rsidRPr="00B34EBC">
        <w:rPr>
          <w:rFonts w:ascii="Times New Roman" w:hAnsi="Times New Roman"/>
          <w:sz w:val="24"/>
          <w:szCs w:val="24"/>
        </w:rPr>
        <w:t>zawarł w opracowanej przez Zarząd i przyjętej przez Radę Nadzorczą</w:t>
      </w:r>
      <w:r w:rsidR="002A3552" w:rsidRPr="00B34EBC">
        <w:rPr>
          <w:rFonts w:ascii="Times New Roman" w:hAnsi="Times New Roman"/>
          <w:sz w:val="24"/>
          <w:szCs w:val="24"/>
        </w:rPr>
        <w:t xml:space="preserve"> Strategii</w:t>
      </w:r>
      <w:r w:rsidRPr="00B34EBC">
        <w:rPr>
          <w:rFonts w:ascii="Times New Roman" w:hAnsi="Times New Roman"/>
          <w:sz w:val="24"/>
          <w:szCs w:val="24"/>
        </w:rPr>
        <w:t xml:space="preserve">. </w:t>
      </w:r>
    </w:p>
    <w:p w:rsidR="002A3552" w:rsidRDefault="002A3552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1DE5" w:rsidRPr="00B34EBC" w:rsidRDefault="00D21DE5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0E3" w:rsidRPr="00B34EBC" w:rsidRDefault="00FA60E3" w:rsidP="00B34EB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Toc450734993"/>
      <w:r w:rsidRPr="00B34EBC">
        <w:rPr>
          <w:rFonts w:ascii="Times New Roman" w:hAnsi="Times New Roman"/>
          <w:b/>
          <w:sz w:val="24"/>
          <w:szCs w:val="24"/>
          <w:u w:val="single"/>
        </w:rPr>
        <w:t>Ryzyko kredytowe:</w:t>
      </w:r>
    </w:p>
    <w:p w:rsidR="00FA60E3" w:rsidRPr="00B34EBC" w:rsidRDefault="00FA60E3" w:rsidP="00B34EB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F132B" w:rsidRPr="00B34EBC" w:rsidRDefault="00EF132B" w:rsidP="00B34EBC">
      <w:pPr>
        <w:rPr>
          <w:rFonts w:ascii="Times New Roman" w:hAnsi="Times New Roman"/>
          <w:b/>
          <w:bCs/>
          <w:sz w:val="24"/>
          <w:szCs w:val="24"/>
        </w:rPr>
      </w:pPr>
      <w:r w:rsidRPr="00B34EBC">
        <w:rPr>
          <w:rFonts w:ascii="Times New Roman" w:hAnsi="Times New Roman"/>
          <w:b/>
          <w:bCs/>
          <w:sz w:val="24"/>
          <w:szCs w:val="24"/>
        </w:rPr>
        <w:t xml:space="preserve">Celem strategicznym w zakresie działalności kredytowej jest budowa odpowiedniego do posiadanych funduszy własnych bezpiecznego portfela kredytowego </w:t>
      </w:r>
      <w:r w:rsidRPr="00D21DE5">
        <w:rPr>
          <w:rFonts w:ascii="Times New Roman" w:hAnsi="Times New Roman"/>
          <w:b/>
          <w:bCs/>
          <w:sz w:val="24"/>
          <w:szCs w:val="24"/>
        </w:rPr>
        <w:t>oraz portfela inwestycji finansowych</w:t>
      </w:r>
      <w:r w:rsidRPr="00B34EBC">
        <w:rPr>
          <w:rFonts w:ascii="Times New Roman" w:hAnsi="Times New Roman"/>
          <w:b/>
          <w:bCs/>
          <w:sz w:val="24"/>
          <w:szCs w:val="24"/>
        </w:rPr>
        <w:t>, zapewniającego odpowiedni poziom dochodowości.</w:t>
      </w:r>
    </w:p>
    <w:p w:rsidR="00EF132B" w:rsidRPr="00B34EBC" w:rsidRDefault="00EF132B" w:rsidP="00B34EBC">
      <w:pPr>
        <w:rPr>
          <w:rFonts w:ascii="Times New Roman" w:hAnsi="Times New Roman"/>
          <w:b/>
          <w:bCs/>
          <w:sz w:val="24"/>
          <w:szCs w:val="24"/>
        </w:rPr>
      </w:pPr>
    </w:p>
    <w:p w:rsidR="00EF132B" w:rsidRPr="00B34EBC" w:rsidRDefault="00EF132B" w:rsidP="00B34EBC">
      <w:pPr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lastRenderedPageBreak/>
        <w:t>Cel ten jest realizowany poprzez zarządzanie ryzykiem kredytowym obejmujące podstawowe kierunki działań (cele pośrednie):</w:t>
      </w:r>
    </w:p>
    <w:p w:rsidR="00EF132B" w:rsidRPr="00B34EBC" w:rsidRDefault="00EF132B" w:rsidP="00B30231">
      <w:pPr>
        <w:widowControl w:val="0"/>
        <w:numPr>
          <w:ilvl w:val="0"/>
          <w:numId w:val="9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budowa bezpiecznego, zdywersyfikowanego portfela kredytowego,</w:t>
      </w:r>
    </w:p>
    <w:p w:rsidR="00EF132B" w:rsidRPr="00D21DE5" w:rsidRDefault="00EF132B" w:rsidP="00B30231">
      <w:pPr>
        <w:widowControl w:val="0"/>
        <w:numPr>
          <w:ilvl w:val="0"/>
          <w:numId w:val="9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D21DE5">
        <w:rPr>
          <w:rFonts w:ascii="Times New Roman" w:hAnsi="Times New Roman"/>
          <w:bCs/>
          <w:sz w:val="24"/>
          <w:szCs w:val="24"/>
        </w:rPr>
        <w:t>przeprowadzanie bezpiecznych inwestycji finansowych,</w:t>
      </w:r>
    </w:p>
    <w:p w:rsidR="00EF132B" w:rsidRPr="00B34EBC" w:rsidRDefault="00EF132B" w:rsidP="001B68FE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3) podejmowanie działań zabezpieczających w obszarze ryzyka pojedynczej transakcji oraz ryzyka portfela,</w:t>
      </w:r>
    </w:p>
    <w:p w:rsidR="00EF132B" w:rsidRDefault="00EF132B" w:rsidP="001B68FE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4) działania organizacyjno-proceduralne.</w:t>
      </w:r>
    </w:p>
    <w:p w:rsidR="001B68FE" w:rsidRPr="00B34EBC" w:rsidRDefault="001B68FE" w:rsidP="001B68FE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:rsidR="00FA60E3" w:rsidRPr="00B34EBC" w:rsidRDefault="00FA60E3" w:rsidP="00B34EBC">
      <w:pPr>
        <w:pStyle w:val="Tekstpodstawowywcity"/>
        <w:spacing w:line="276" w:lineRule="auto"/>
        <w:ind w:left="360" w:firstLine="0"/>
        <w:jc w:val="both"/>
      </w:pPr>
      <w:r w:rsidRPr="00B34EBC">
        <w:t xml:space="preserve">Ryzyko kredytowe Banku należy rozpatrywać w dwóch aspektach: </w:t>
      </w:r>
    </w:p>
    <w:p w:rsidR="00FA60E3" w:rsidRPr="00B34EBC" w:rsidRDefault="00FA60E3" w:rsidP="00B30231">
      <w:pPr>
        <w:pStyle w:val="Tekstpodstawowywcity"/>
        <w:numPr>
          <w:ilvl w:val="0"/>
          <w:numId w:val="1"/>
        </w:numPr>
        <w:spacing w:line="276" w:lineRule="auto"/>
        <w:jc w:val="both"/>
      </w:pPr>
      <w:r w:rsidRPr="00B34EBC">
        <w:t xml:space="preserve">ryzyka pojedynczej transakcji, </w:t>
      </w:r>
    </w:p>
    <w:p w:rsidR="00FA60E3" w:rsidRPr="00B34EBC" w:rsidRDefault="00FA60E3" w:rsidP="00B30231">
      <w:pPr>
        <w:pStyle w:val="Tekstpodstawowywcity"/>
        <w:numPr>
          <w:ilvl w:val="0"/>
          <w:numId w:val="1"/>
        </w:numPr>
        <w:spacing w:line="276" w:lineRule="auto"/>
        <w:jc w:val="both"/>
      </w:pPr>
      <w:r w:rsidRPr="00B34EBC">
        <w:t xml:space="preserve">ryzyka łącznego portfela kredytowego.    </w:t>
      </w:r>
    </w:p>
    <w:p w:rsidR="00FA60E3" w:rsidRPr="00B34EBC" w:rsidRDefault="00FA60E3" w:rsidP="00B34EBC">
      <w:pPr>
        <w:pStyle w:val="Tekstpodstawowywcity"/>
        <w:spacing w:line="276" w:lineRule="auto"/>
        <w:ind w:left="720" w:firstLine="0"/>
        <w:jc w:val="both"/>
      </w:pPr>
    </w:p>
    <w:p w:rsidR="00FA60E3" w:rsidRPr="00B34EBC" w:rsidRDefault="00FA60E3" w:rsidP="00B34EBC">
      <w:pPr>
        <w:pStyle w:val="Tekstpodstawowywcity"/>
        <w:spacing w:line="276" w:lineRule="auto"/>
        <w:jc w:val="both"/>
      </w:pPr>
      <w:r w:rsidRPr="00B34EBC">
        <w:t xml:space="preserve">Ryzyko pojedynczej transakcji zależy od wysokości możliwej straty </w:t>
      </w:r>
      <w:r w:rsidRPr="00B34EBC">
        <w:br/>
        <w:t>i prawdopodobieństwa jej wystąpienia. Ryzyko łączne portfela kredytowego zależne jest od wysokości pojedynczych kredytów, prawdopodobieństwa ich niespłacenia i współzależności między poszczególnymi kredytami lub kredytobiorcami. Im mniejsza jest ta wzajemna zależność (koncentracja) tym mniejsze jest ryzyko wystąpienia sytuacji, w której czynniki powodujące niespłacenie jednego kredytu będą również wpływały na niespłacenie innych, zwiększając w ten sposób łączne ryzyko kredytowe.</w:t>
      </w:r>
      <w:r w:rsidR="003A67C4" w:rsidRPr="00B34EBC">
        <w:t xml:space="preserve"> </w:t>
      </w:r>
      <w:r w:rsidRPr="00B34EBC">
        <w:t>Metodą zabezpieczenia się przed nadmiernym ryzykiem w działalności kredytowej jest odpowiednio prowadzone zarządzanie ryzykiem zarówno w odniesieniu do pojedynczego kredytu, jak i łącznego zaangażowania kredytowego. Zarządzanie ryzykiem kredytowym w odniesieniu do pojedynczego kredytu polega na:</w:t>
      </w:r>
    </w:p>
    <w:p w:rsidR="00FA60E3" w:rsidRPr="00B34EBC" w:rsidRDefault="00FA60E3" w:rsidP="00B30231">
      <w:pPr>
        <w:pStyle w:val="Tekstpodstawowywcity"/>
        <w:numPr>
          <w:ilvl w:val="0"/>
          <w:numId w:val="29"/>
        </w:numPr>
        <w:spacing w:line="276" w:lineRule="auto"/>
        <w:jc w:val="both"/>
      </w:pPr>
      <w:r w:rsidRPr="00B34EBC">
        <w:t xml:space="preserve">badaniu wiarygodności i zdolności kredytowej przed udzieleniem kredytu, </w:t>
      </w:r>
      <w:r w:rsidRPr="00B34EBC">
        <w:br/>
        <w:t>w oparciu o zweryfikowane pod względem wiarygodności dokumenty, dostarczane przez klientów,</w:t>
      </w:r>
    </w:p>
    <w:p w:rsidR="00FA60E3" w:rsidRPr="00B34EBC" w:rsidRDefault="00FA60E3" w:rsidP="00B30231">
      <w:pPr>
        <w:pStyle w:val="Tekstpodstawowywcity"/>
        <w:numPr>
          <w:ilvl w:val="0"/>
          <w:numId w:val="29"/>
        </w:numPr>
        <w:spacing w:line="276" w:lineRule="auto"/>
        <w:jc w:val="both"/>
      </w:pPr>
      <w:r w:rsidRPr="00B34EBC">
        <w:t>wykorzystaniu w ocenie zdolności kredytowej i zabezpieczeń dostępnych baz danych,</w:t>
      </w:r>
    </w:p>
    <w:p w:rsidR="00FA60E3" w:rsidRPr="00B34EBC" w:rsidRDefault="00FA60E3" w:rsidP="00B30231">
      <w:pPr>
        <w:pStyle w:val="Tekstpodstawowywcity"/>
        <w:numPr>
          <w:ilvl w:val="0"/>
          <w:numId w:val="29"/>
        </w:numPr>
        <w:spacing w:line="276" w:lineRule="auto"/>
        <w:jc w:val="both"/>
      </w:pPr>
      <w:r w:rsidRPr="00B34EBC">
        <w:t>prawidłowym zabezpieczaniu zwrotności ekspozycji kredytowych, zgodnie z regulacjami wewnętrznymi Banku, gwarantującym zwrotność kredytów,</w:t>
      </w:r>
    </w:p>
    <w:p w:rsidR="00FA60E3" w:rsidRPr="00B34EBC" w:rsidRDefault="00FA60E3" w:rsidP="00B30231">
      <w:pPr>
        <w:pStyle w:val="Tekstpodstawowywcity"/>
        <w:numPr>
          <w:ilvl w:val="0"/>
          <w:numId w:val="29"/>
        </w:numPr>
        <w:spacing w:line="276" w:lineRule="auto"/>
        <w:jc w:val="both"/>
      </w:pPr>
      <w:r w:rsidRPr="00B34EBC">
        <w:t>bieżącym monitoringu zabezpieczeń kredytowych, ze szczególnym uwzględnieniem zabezpieczeń hipotecznych w całym okresie kredytowania,</w:t>
      </w:r>
    </w:p>
    <w:p w:rsidR="00FA60E3" w:rsidRPr="00B34EBC" w:rsidRDefault="00FA60E3" w:rsidP="00B30231">
      <w:pPr>
        <w:pStyle w:val="Tekstpodstawowywcity"/>
        <w:numPr>
          <w:ilvl w:val="0"/>
          <w:numId w:val="29"/>
        </w:numPr>
        <w:spacing w:line="276" w:lineRule="auto"/>
        <w:jc w:val="both"/>
      </w:pPr>
      <w:r w:rsidRPr="00B34EBC">
        <w:t>dokonywaniu okresowych przeglądów ekspozycji kredytowych oraz tworzeniu rezerw celowych,</w:t>
      </w:r>
    </w:p>
    <w:p w:rsidR="00FA60E3" w:rsidRPr="00B34EBC" w:rsidRDefault="00FA60E3" w:rsidP="00B30231">
      <w:pPr>
        <w:pStyle w:val="Tekstpodstawowywcity"/>
        <w:numPr>
          <w:ilvl w:val="0"/>
          <w:numId w:val="29"/>
        </w:numPr>
        <w:spacing w:line="276" w:lineRule="auto"/>
        <w:jc w:val="both"/>
      </w:pPr>
      <w:r w:rsidRPr="00B34EBC">
        <w:t xml:space="preserve">prawidłowym prowadzeniu windykacji i nadzoru nad trudnymi kredytami, </w:t>
      </w:r>
    </w:p>
    <w:p w:rsidR="00FA60E3" w:rsidRPr="00B34EBC" w:rsidRDefault="00FA60E3" w:rsidP="00B30231">
      <w:pPr>
        <w:pStyle w:val="Tekstpodstawowywcity"/>
        <w:numPr>
          <w:ilvl w:val="0"/>
          <w:numId w:val="29"/>
        </w:numPr>
        <w:spacing w:line="276" w:lineRule="auto"/>
        <w:jc w:val="both"/>
      </w:pPr>
      <w:r w:rsidRPr="00B34EBC">
        <w:t>k</w:t>
      </w:r>
      <w:r w:rsidR="003376BA">
        <w:t>ontroli działalności kredytowej.</w:t>
      </w:r>
    </w:p>
    <w:p w:rsidR="00FA60E3" w:rsidRPr="00B34EBC" w:rsidRDefault="00FA60E3" w:rsidP="00B34EBC">
      <w:pPr>
        <w:pStyle w:val="Tekstpodstawowywcity"/>
        <w:spacing w:line="276" w:lineRule="auto"/>
        <w:ind w:left="709" w:firstLine="0"/>
        <w:jc w:val="both"/>
      </w:pP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Zasady zarządzania ryzykiem kredytowym w odniesieniu do pojedynczej transakcji kredytowej obejmują procedury, praktyki, mechanizmy kontroli wewnętrznej składające się na metodykę oceny ryzyka kredytowego przed udzieleniem kredytu oraz w trakcie trwania umowy kredytowej. </w:t>
      </w: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Stosowane w Banku metodyki oceny zdolności kredytowej określają regulaminy, instrukcje, procedury oraz inne regulacje kredytowe zapewniające standaryzację świadczonych usług oraz ograniczające ryzyko kredytowe.</w:t>
      </w:r>
    </w:p>
    <w:p w:rsidR="00FA60E3" w:rsidRPr="001B68FE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lastRenderedPageBreak/>
        <w:t xml:space="preserve">W stosunku do ekspozycji kredytowych zaliczanych do klasy ekspozycji detalicznych zgodnie z Rozporządzeniem CRR, Bank stosuje ujednolicone zasady oceny zdolności kredytowej, dostosowane do ich charakterystyki ryzyka, określone w </w:t>
      </w:r>
      <w:r w:rsidRPr="001B68FE">
        <w:rPr>
          <w:rFonts w:ascii="Times New Roman" w:hAnsi="Times New Roman"/>
          <w:sz w:val="24"/>
          <w:szCs w:val="24"/>
        </w:rPr>
        <w:t>Instrukcji Metodyka oceny zdolności kredytowej osób fizycznych</w:t>
      </w:r>
      <w:r w:rsidR="001B68FE" w:rsidRPr="001B68FE">
        <w:rPr>
          <w:rFonts w:ascii="Times New Roman" w:hAnsi="Times New Roman"/>
          <w:sz w:val="24"/>
          <w:szCs w:val="24"/>
        </w:rPr>
        <w:t xml:space="preserve"> w Banku Spółdzielczym w Chłopicach</w:t>
      </w:r>
      <w:r w:rsidRPr="001B68FE">
        <w:rPr>
          <w:rFonts w:ascii="Times New Roman" w:hAnsi="Times New Roman"/>
          <w:sz w:val="24"/>
          <w:szCs w:val="24"/>
        </w:rPr>
        <w:t>.</w:t>
      </w:r>
    </w:p>
    <w:p w:rsidR="001B68FE" w:rsidRDefault="001B68FE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W stosunku do ekspozycji kredytowych zaliczanych do klasy ekspozycji wobec przedsiębiorców obok przyjętych metod oceny zdolności kredytowej, można stosować indywidualne zasady zarządzania.</w:t>
      </w: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Zabezpieczenia transakcji kredytowych dokonywane są w stopniu adekwatnym do oceny sytuacji ekonomicznej klienta oraz charakteru i okresu trwania transakcji, z zastosowaniem </w:t>
      </w:r>
      <w:r w:rsidR="003A67C4" w:rsidRPr="00B34EBC">
        <w:rPr>
          <w:rFonts w:ascii="Times New Roman" w:hAnsi="Times New Roman"/>
          <w:sz w:val="24"/>
          <w:szCs w:val="24"/>
        </w:rPr>
        <w:t>zasad ustanawiania</w:t>
      </w:r>
      <w:r w:rsidRPr="00B34EBC">
        <w:rPr>
          <w:rFonts w:ascii="Times New Roman" w:hAnsi="Times New Roman"/>
          <w:sz w:val="24"/>
          <w:szCs w:val="24"/>
        </w:rPr>
        <w:t xml:space="preserve"> prawnych form zabezpieczenia wierzytelności</w:t>
      </w:r>
      <w:r w:rsidR="003A67C4" w:rsidRPr="00B34EBC">
        <w:rPr>
          <w:rFonts w:ascii="Times New Roman" w:hAnsi="Times New Roman"/>
          <w:sz w:val="24"/>
          <w:szCs w:val="24"/>
        </w:rPr>
        <w:t xml:space="preserve">. </w:t>
      </w:r>
      <w:r w:rsidR="003A67C4" w:rsidRPr="00B34EBC">
        <w:rPr>
          <w:rFonts w:ascii="Times New Roman" w:hAnsi="Times New Roman"/>
          <w:sz w:val="24"/>
          <w:szCs w:val="24"/>
        </w:rPr>
        <w:br/>
        <w:t>Bank udziela kredyty konsumenckie</w:t>
      </w:r>
      <w:r w:rsidRPr="00B34EBC">
        <w:rPr>
          <w:rFonts w:ascii="Times New Roman" w:hAnsi="Times New Roman"/>
          <w:sz w:val="24"/>
          <w:szCs w:val="24"/>
        </w:rPr>
        <w:t xml:space="preserve"> i zawiera z kredytobiorcami umowy o kredyty konsumenckie z zachowaniem zasad określonych w Ustawie o kredycie konsumenckim.</w:t>
      </w:r>
      <w:r w:rsidRPr="00B34EBC">
        <w:rPr>
          <w:rFonts w:ascii="Times New Roman" w:hAnsi="Times New Roman"/>
          <w:sz w:val="24"/>
          <w:szCs w:val="24"/>
        </w:rPr>
        <w:br/>
        <w:t xml:space="preserve">W przypadku udzielania kredytów klientom detalicznym (w rozumieniu rekomendacji T i S) Bank ustala wymagany poziom wskaźnika </w:t>
      </w:r>
      <w:proofErr w:type="spellStart"/>
      <w:r w:rsidRPr="00B34EBC">
        <w:rPr>
          <w:rFonts w:ascii="Times New Roman" w:hAnsi="Times New Roman"/>
          <w:sz w:val="24"/>
          <w:szCs w:val="24"/>
        </w:rPr>
        <w:t>DtI</w:t>
      </w:r>
      <w:proofErr w:type="spellEnd"/>
      <w:r w:rsidRPr="00B34EBC">
        <w:rPr>
          <w:rFonts w:ascii="Times New Roman" w:hAnsi="Times New Roman"/>
          <w:sz w:val="24"/>
          <w:szCs w:val="24"/>
        </w:rPr>
        <w:t xml:space="preserve"> opisany w metodyce oceny zdolności kredytowej, uwzględniający minimum </w:t>
      </w:r>
      <w:r w:rsidR="003A67C4" w:rsidRPr="00B34EBC">
        <w:rPr>
          <w:rFonts w:ascii="Times New Roman" w:hAnsi="Times New Roman"/>
          <w:sz w:val="24"/>
          <w:szCs w:val="24"/>
        </w:rPr>
        <w:t>egzystencji</w:t>
      </w:r>
      <w:r w:rsidRPr="00B34EBC">
        <w:rPr>
          <w:rFonts w:ascii="Times New Roman" w:hAnsi="Times New Roman"/>
          <w:sz w:val="24"/>
          <w:szCs w:val="24"/>
        </w:rPr>
        <w:t xml:space="preserve">. </w:t>
      </w: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W Banku prowadzony jest systematyczny monitoring sytuacji ekonomicznej kredytobiorców oraz zabezpieczeń, zgodnie z wewnętrznymi regulacjami Banku. Narzędziem monitoringu są arkusze analityczne.</w:t>
      </w:r>
    </w:p>
    <w:p w:rsidR="00FA60E3" w:rsidRDefault="00FA60E3" w:rsidP="00CD64B4">
      <w:p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Bank dokonuje wyceny i aktualizacji aktywów i zobowiązań pozabilansowych oraz tworzy rezerwy na ryzyko związane z działalnością banku zgodnie z obowiązującymi ustawami i rozporządzeniami oraz </w:t>
      </w:r>
      <w:r w:rsidR="00CD64B4">
        <w:rPr>
          <w:rFonts w:ascii="Times New Roman" w:hAnsi="Times New Roman"/>
          <w:sz w:val="24"/>
          <w:szCs w:val="24"/>
        </w:rPr>
        <w:t xml:space="preserve"> </w:t>
      </w:r>
      <w:r w:rsidRPr="00B34EBC">
        <w:rPr>
          <w:rFonts w:ascii="Times New Roman" w:hAnsi="Times New Roman"/>
          <w:sz w:val="24"/>
          <w:szCs w:val="24"/>
        </w:rPr>
        <w:t xml:space="preserve"> </w:t>
      </w:r>
      <w:r w:rsidRPr="00CD64B4">
        <w:rPr>
          <w:rFonts w:ascii="Times New Roman" w:hAnsi="Times New Roman"/>
          <w:sz w:val="24"/>
          <w:szCs w:val="24"/>
        </w:rPr>
        <w:t xml:space="preserve">Instrukcją </w:t>
      </w:r>
      <w:r w:rsidR="00CD64B4" w:rsidRPr="00CD64B4">
        <w:rPr>
          <w:rFonts w:ascii="Times New Roman" w:hAnsi="Times New Roman"/>
          <w:sz w:val="24"/>
          <w:szCs w:val="24"/>
        </w:rPr>
        <w:t>monitoringu ekspozycji kredytowych i</w:t>
      </w:r>
      <w:r w:rsidRPr="00CD64B4">
        <w:rPr>
          <w:rFonts w:ascii="Times New Roman" w:hAnsi="Times New Roman"/>
          <w:sz w:val="24"/>
          <w:szCs w:val="24"/>
        </w:rPr>
        <w:t xml:space="preserve"> zabezpieczeń</w:t>
      </w:r>
      <w:r w:rsidR="00CD64B4" w:rsidRPr="00CD64B4">
        <w:rPr>
          <w:rFonts w:ascii="Times New Roman" w:hAnsi="Times New Roman"/>
          <w:sz w:val="24"/>
          <w:szCs w:val="24"/>
        </w:rPr>
        <w:t xml:space="preserve"> oraz klasyfikacji i tworzenia rezerw celowych w Banku Spółdzielczym w Chłopicach</w:t>
      </w:r>
      <w:r w:rsidR="00CD64B4">
        <w:rPr>
          <w:rFonts w:ascii="Times New Roman" w:hAnsi="Times New Roman"/>
          <w:sz w:val="24"/>
          <w:szCs w:val="24"/>
        </w:rPr>
        <w:t>.</w:t>
      </w:r>
      <w:r w:rsidRPr="00CD64B4">
        <w:rPr>
          <w:rFonts w:ascii="Times New Roman" w:hAnsi="Times New Roman"/>
          <w:sz w:val="24"/>
          <w:szCs w:val="24"/>
        </w:rPr>
        <w:t xml:space="preserve"> </w:t>
      </w:r>
    </w:p>
    <w:p w:rsidR="00CD64B4" w:rsidRPr="00CD64B4" w:rsidRDefault="00CD64B4" w:rsidP="00CD64B4">
      <w:pPr>
        <w:spacing w:after="0"/>
        <w:rPr>
          <w:rFonts w:ascii="Times New Roman" w:hAnsi="Times New Roman"/>
          <w:sz w:val="24"/>
          <w:szCs w:val="24"/>
        </w:rPr>
      </w:pP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Zasady bezpiecznego zarządzania ryzykiem kredytowym w odniesieniu do łącznego zaangażowania kredytowego Banku obejmują działania polegające na: </w:t>
      </w:r>
    </w:p>
    <w:p w:rsidR="00FA60E3" w:rsidRPr="00B34EBC" w:rsidRDefault="00FA60E3" w:rsidP="00B30231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dywersyfikacji ryzyka poprzez stosowanie limitów koncentracji,</w:t>
      </w:r>
    </w:p>
    <w:p w:rsidR="00FA60E3" w:rsidRPr="00B34EBC" w:rsidRDefault="00FA60E3" w:rsidP="00B30231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stosowanie limitów dotyczących rodzajów kredytów,</w:t>
      </w:r>
    </w:p>
    <w:p w:rsidR="00FA60E3" w:rsidRPr="00B34EBC" w:rsidRDefault="00FA60E3" w:rsidP="00B30231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 analizie ryzyka ekspozycji zabezpieczonych hipotecznie, </w:t>
      </w:r>
    </w:p>
    <w:p w:rsidR="00FA60E3" w:rsidRPr="00B34EBC" w:rsidRDefault="00FA60E3" w:rsidP="00B30231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badaniu ekspozycji zagrożonych, </w:t>
      </w:r>
    </w:p>
    <w:p w:rsidR="00FA60E3" w:rsidRPr="00B34EBC" w:rsidRDefault="00FA60E3" w:rsidP="00B30231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przedsięwzięciach organizacyjno- kadrowych. </w:t>
      </w:r>
    </w:p>
    <w:p w:rsidR="00AE2D0B" w:rsidRDefault="00AE2D0B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Podstawowa analiza ryzyka kredytowego jest przeprowadzana co najmniej raz </w:t>
      </w:r>
      <w:r w:rsidRPr="00B34EBC">
        <w:rPr>
          <w:rFonts w:ascii="Times New Roman" w:hAnsi="Times New Roman"/>
          <w:sz w:val="24"/>
          <w:szCs w:val="24"/>
        </w:rPr>
        <w:br/>
        <w:t xml:space="preserve">w miesiącu, po zakończeniu miesiąca wraz z analizą ogólnego poziomu ryzyka, </w:t>
      </w:r>
      <w:r w:rsidRPr="00B34EBC">
        <w:rPr>
          <w:rFonts w:ascii="Times New Roman" w:hAnsi="Times New Roman"/>
          <w:sz w:val="24"/>
          <w:szCs w:val="24"/>
        </w:rPr>
        <w:br/>
        <w:t>w odniesieniu do realizacji planu podstawowych wskaźników charakteryzujących ryzyko. Miesięcznej analizie poddawane są w szczególności takie elementy jak: struktura portfela kredytowego, struktura i dynamika kredytów zagrożonych, wynik z tytułu rezerw celowych.</w:t>
      </w: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W Banku dokonuje się pomiaru i oceny ryzyka portfela kredytowego i profilu ryzyka kredytowego w cyklach kwartalnych, na podstawie raportów sporządzonych przez </w:t>
      </w:r>
      <w:r w:rsidR="00D21DE5">
        <w:rPr>
          <w:rFonts w:ascii="Times New Roman" w:hAnsi="Times New Roman"/>
          <w:sz w:val="24"/>
          <w:szCs w:val="24"/>
        </w:rPr>
        <w:t>Komitet</w:t>
      </w:r>
      <w:r w:rsidRPr="003376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1DE5">
        <w:rPr>
          <w:rFonts w:ascii="Times New Roman" w:hAnsi="Times New Roman"/>
          <w:sz w:val="24"/>
          <w:szCs w:val="24"/>
        </w:rPr>
        <w:t xml:space="preserve">Zarządzania Ryzykami i </w:t>
      </w:r>
      <w:r w:rsidR="00AE2D0B">
        <w:rPr>
          <w:rFonts w:ascii="Times New Roman" w:hAnsi="Times New Roman"/>
          <w:sz w:val="24"/>
          <w:szCs w:val="24"/>
        </w:rPr>
        <w:t>Sprawozdawczości</w:t>
      </w:r>
      <w:r w:rsidRPr="00D21DE5">
        <w:rPr>
          <w:rFonts w:ascii="Times New Roman" w:hAnsi="Times New Roman"/>
          <w:sz w:val="24"/>
          <w:szCs w:val="24"/>
        </w:rPr>
        <w:t xml:space="preserve">. </w:t>
      </w:r>
      <w:r w:rsidRPr="00B34EBC">
        <w:rPr>
          <w:rFonts w:ascii="Times New Roman" w:hAnsi="Times New Roman"/>
          <w:sz w:val="24"/>
          <w:szCs w:val="24"/>
        </w:rPr>
        <w:t xml:space="preserve">Raporty dotyczące: koncentracji branżowej, adekwatności kapitałowej, ekspozycji przeterminowanych, koncentracji zabezpieczeń, kredytów zabezpieczonych hipotecznie i finansujących nieruchomości, analizę detalicznych ekspozycji zawierają zastawienia liczbowe oraz ich interpretację z rekomendacją dalszych </w:t>
      </w:r>
      <w:r w:rsidRPr="00B34EBC">
        <w:rPr>
          <w:rFonts w:ascii="Times New Roman" w:hAnsi="Times New Roman"/>
          <w:sz w:val="24"/>
          <w:szCs w:val="24"/>
        </w:rPr>
        <w:lastRenderedPageBreak/>
        <w:t>działań. Analiza miesięczna i kwartalna opracowywana jest i przedkładana Zarządowi oraz Radzie Nadzorczej Banku, zgodnie z obowiązującą w Banku Instrukcją sporządzania informacji zarządczej.</w:t>
      </w: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Dane analityczne stanowiące źródło analizy ryzyka portfela kredytowego pobierane są z systemu operacyjnego oraz innych systemów wspomagających. Każdorazowo po zaimportowaniu danych do systemu informatycznego i wygenerowaniu raportów, przeprowadzana jest kontrola ich zgodności ze sprawozdawczością Banku za analizowany okres oraz kontrola spójności z poprzednimi okresami sprawozdawczymi.</w:t>
      </w: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Badanie ryzyka łącznego portfela kredytowego Banku obejmuje:</w:t>
      </w:r>
    </w:p>
    <w:p w:rsidR="00FA60E3" w:rsidRPr="00B34EBC" w:rsidRDefault="00FA60E3" w:rsidP="00B3023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analizę ilościową i wartościową portfela,</w:t>
      </w:r>
    </w:p>
    <w:p w:rsidR="00FA60E3" w:rsidRPr="00B34EBC" w:rsidRDefault="00FA60E3" w:rsidP="00B3023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analizę wskaźnikową,</w:t>
      </w:r>
    </w:p>
    <w:p w:rsidR="00FA60E3" w:rsidRPr="00B34EBC" w:rsidRDefault="00FA60E3" w:rsidP="00B3023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ocenę realizacji limitów koncentracji,</w:t>
      </w:r>
    </w:p>
    <w:p w:rsidR="00FA60E3" w:rsidRPr="00B34EBC" w:rsidRDefault="00FA60E3" w:rsidP="00B3023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analizę jakościową portfela, </w:t>
      </w:r>
    </w:p>
    <w:p w:rsidR="00FA60E3" w:rsidRPr="00B34EBC" w:rsidRDefault="00FA60E3" w:rsidP="00B3023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analizę wrażliwości na wystąpienie sytuacji skrajnej.</w:t>
      </w:r>
    </w:p>
    <w:p w:rsidR="00AE2D0B" w:rsidRDefault="00AE2D0B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0E3" w:rsidRPr="00B34EBC" w:rsidRDefault="00FA60E3" w:rsidP="00AE2D0B">
      <w:p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W celu dywersyfikacji ryzyka kredytowego Bank wprowadza odpowiednie do skali i złożoności działalności limity wewnętrzne ograniczające jego poziom. Przyjęte rodzaje limitów wewnętrznych oraz ich wysokość zatwierdza Zarząd Banku na podstawie propozycji </w:t>
      </w:r>
      <w:r w:rsidR="00D21DE5" w:rsidRPr="00D21DE5">
        <w:rPr>
          <w:rFonts w:ascii="Times New Roman" w:hAnsi="Times New Roman"/>
          <w:sz w:val="24"/>
          <w:szCs w:val="24"/>
        </w:rPr>
        <w:t>Komitetu</w:t>
      </w:r>
      <w:r w:rsidRPr="00D21DE5">
        <w:rPr>
          <w:rFonts w:ascii="Times New Roman" w:hAnsi="Times New Roman"/>
          <w:sz w:val="24"/>
          <w:szCs w:val="24"/>
        </w:rPr>
        <w:t xml:space="preserve"> Zarządzania Ryzykami i Analiz. </w:t>
      </w:r>
      <w:r w:rsidRPr="00B34EBC">
        <w:rPr>
          <w:rFonts w:ascii="Times New Roman" w:hAnsi="Times New Roman"/>
          <w:sz w:val="24"/>
          <w:szCs w:val="24"/>
        </w:rPr>
        <w:t xml:space="preserve">Wysokość limitów jest dostosowana do akceptowanego przez Radę Nadzorczą ogólnego poziomu ryzyka, zatwierdzonego w ramach założeń do planu ekonomiczno-finansowego. Wysokość limitów koncentracji jest weryfikowana co najmniej raz w roku w trakcie przeglądu zarządczego procedur w zakresie zarządzania ryzykiem kredytowym. </w:t>
      </w:r>
      <w:r w:rsidRPr="00B34EBC">
        <w:rPr>
          <w:rFonts w:ascii="Times New Roman" w:hAnsi="Times New Roman"/>
          <w:sz w:val="24"/>
          <w:szCs w:val="24"/>
        </w:rPr>
        <w:br/>
        <w:t>Limity określające jednostkowe zaangażowanie danego klienta są monitorowane w momencie udzielania kredytu oraz podczas monitoringu sytuacji klienta po udzieleniu kredytu przez pracownika kredytowego prowadzącego dokumentację danego klienta.</w:t>
      </w: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Każdy przypadek lub możliwość przekroczenia limitów jednostkowych jest sygnalizowany osobie kierującej komórką udzielającą kredyty, a następnie Prezesowi Zarządu nadzorującemu ryzyko kredytowe.</w:t>
      </w:r>
    </w:p>
    <w:p w:rsidR="00FA60E3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Powyższe działania pozwalają mierzyć, kontrolować i monitorować profil ryzyka kredytowego, występującego w działalności Banku. Gdy  ryzyko występujące w portfelu kredytowym okazuje się nieakceptowane, Zarząd Banku stosuje następujące rozwiązania:</w:t>
      </w:r>
    </w:p>
    <w:p w:rsidR="00AE2D0B" w:rsidRPr="00B34EBC" w:rsidRDefault="00AE2D0B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0E3" w:rsidRPr="00B34EBC" w:rsidRDefault="00FA60E3" w:rsidP="00B30231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Ograniczanie kwoty zaangażowania poprzez wprowadzenie ostrzejszych limitów na kredyty udzielane określonym kredytobiorcom, na duże zaangażowania kredytowe lub na pewne rodzaje kredytów o wysokim stopniu zbadanego ryzyka,</w:t>
      </w:r>
    </w:p>
    <w:p w:rsidR="00FA60E3" w:rsidRPr="00B34EBC" w:rsidRDefault="00FA60E3" w:rsidP="00B30231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Zwiększenie poziomu zabezpieczeń,</w:t>
      </w:r>
    </w:p>
    <w:p w:rsidR="00FA60E3" w:rsidRPr="00B34EBC" w:rsidRDefault="00FA60E3" w:rsidP="00B30231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Restrukturyzowanie zadłużenia,</w:t>
      </w:r>
    </w:p>
    <w:p w:rsidR="00FA60E3" w:rsidRPr="00B34EBC" w:rsidRDefault="00FA60E3" w:rsidP="00B30231">
      <w:pPr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Doskonalenie standardów kredytowych i systemu kontroli wewnętrznej, opracowanie odpowiednich procedur wewnętrznych,</w:t>
      </w:r>
    </w:p>
    <w:p w:rsidR="00FA60E3" w:rsidRPr="00B34EBC" w:rsidRDefault="00FA60E3" w:rsidP="00B30231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Podejmowanie innych zindywidualizowanych działań, zależnych od skali i rodzaju stwierdzonego zagrożenia.</w:t>
      </w:r>
    </w:p>
    <w:p w:rsidR="00FA60E3" w:rsidRPr="00B34EBC" w:rsidRDefault="00FA60E3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3552" w:rsidRPr="00B34EBC" w:rsidRDefault="002A3552" w:rsidP="00B34EBC">
      <w:pPr>
        <w:pStyle w:val="Nagwek3"/>
        <w:keepLines w:val="0"/>
        <w:numPr>
          <w:ilvl w:val="2"/>
          <w:numId w:val="0"/>
        </w:numPr>
        <w:tabs>
          <w:tab w:val="num" w:pos="1288"/>
        </w:tabs>
        <w:spacing w:before="240" w:after="60"/>
        <w:ind w:left="1288" w:hanging="720"/>
        <w:rPr>
          <w:rFonts w:ascii="Times New Roman" w:hAnsi="Times New Roman"/>
          <w:b/>
          <w:color w:val="auto"/>
          <w:u w:val="single"/>
        </w:rPr>
      </w:pPr>
      <w:r w:rsidRPr="00B34EBC">
        <w:rPr>
          <w:rFonts w:ascii="Times New Roman" w:hAnsi="Times New Roman"/>
          <w:b/>
          <w:color w:val="auto"/>
          <w:u w:val="single"/>
        </w:rPr>
        <w:lastRenderedPageBreak/>
        <w:t>Ryzyko płynnoś</w:t>
      </w:r>
      <w:bookmarkEnd w:id="0"/>
      <w:r w:rsidR="0051540A" w:rsidRPr="00B34EBC">
        <w:rPr>
          <w:rFonts w:ascii="Times New Roman" w:hAnsi="Times New Roman"/>
          <w:b/>
          <w:color w:val="auto"/>
          <w:u w:val="single"/>
        </w:rPr>
        <w:t>ci</w:t>
      </w:r>
      <w:r w:rsidRPr="00B34EBC">
        <w:rPr>
          <w:rFonts w:ascii="Times New Roman" w:hAnsi="Times New Roman"/>
          <w:b/>
          <w:color w:val="auto"/>
          <w:u w:val="single"/>
        </w:rPr>
        <w:t xml:space="preserve"> </w:t>
      </w:r>
    </w:p>
    <w:p w:rsidR="002A3552" w:rsidRPr="00B34EBC" w:rsidRDefault="00AE2D0B" w:rsidP="00B34EBC">
      <w:pPr>
        <w:tabs>
          <w:tab w:val="left" w:pos="0"/>
        </w:tabs>
        <w:ind w:left="7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A3552" w:rsidRPr="00B34EBC">
        <w:rPr>
          <w:rFonts w:ascii="Times New Roman" w:hAnsi="Times New Roman"/>
          <w:b/>
          <w:sz w:val="24"/>
          <w:szCs w:val="24"/>
        </w:rPr>
        <w:t>Celem strategicznym w zakresie zarządzania płynnością jest:</w:t>
      </w:r>
    </w:p>
    <w:p w:rsidR="002A3552" w:rsidRPr="00B34EBC" w:rsidRDefault="002A3552" w:rsidP="00B30231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Zapewnienie finansowania aktywów i terminowego wykonania zobowiązań w toku normalnej działalności Banku lub w innych warunkach, które można przewidzieć, bez konieczności poniesienia straty,</w:t>
      </w:r>
    </w:p>
    <w:p w:rsidR="002A3552" w:rsidRPr="00B34EBC" w:rsidRDefault="002A3552" w:rsidP="00B30231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Zapewnienie utrzymania płynności bieżącej, krótkoterminowej, średnioterminowej oraz długoterminowej dostosowanej do rozmiarów i rodzaju działalności, w sposób zapewniający wykonanie wszystkich zobowiązań pieniężnych zgodnie z terminami ich płatności,</w:t>
      </w:r>
    </w:p>
    <w:p w:rsidR="002A3552" w:rsidRPr="00B34EBC" w:rsidRDefault="002A3552" w:rsidP="00B30231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Minimalizowanie ryzyka przekroczenia zdefiniowanych w Banku limitów płynności,</w:t>
      </w:r>
    </w:p>
    <w:p w:rsidR="002A3552" w:rsidRPr="00B34EBC" w:rsidRDefault="002A3552" w:rsidP="00B30231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Monitorowanie sytuacji płynnościowej Banku pod kątem wystąpienia sytuacji awaryjnej powodującej konieczność uruchomienia planu awaryjnego utrzymania płynności,</w:t>
      </w:r>
    </w:p>
    <w:p w:rsidR="002A3552" w:rsidRPr="00B34EBC" w:rsidRDefault="002A3552" w:rsidP="00B30231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Minimalizowanie ryzyka utraty płynności przez Bank w przyszłości,</w:t>
      </w:r>
    </w:p>
    <w:p w:rsidR="002A3552" w:rsidRPr="00B34EBC" w:rsidRDefault="002A3552" w:rsidP="00B30231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Optymalne zarządzanie nadwyżkami środków finansowych,</w:t>
      </w:r>
    </w:p>
    <w:p w:rsidR="00AE2D0B" w:rsidRPr="00AE2D0B" w:rsidRDefault="002A3552" w:rsidP="00AE2D0B">
      <w:pPr>
        <w:widowControl w:val="0"/>
        <w:numPr>
          <w:ilvl w:val="0"/>
          <w:numId w:val="33"/>
        </w:num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E2D0B">
        <w:rPr>
          <w:rFonts w:ascii="Times New Roman" w:hAnsi="Times New Roman"/>
          <w:snapToGrid w:val="0"/>
          <w:position w:val="-10"/>
          <w:sz w:val="24"/>
          <w:szCs w:val="24"/>
        </w:rPr>
        <w:t>Utrzymywanie nadzorczych miar płynności na bezpiecznym poziomie. Bank, pomimo działania w systemie ochrony wylicza i utrzymuje zarówno krajowe miary nadzorcze, jak i unijne na wymaganym poziomie w ujęciu indywidualnym.</w:t>
      </w:r>
    </w:p>
    <w:p w:rsidR="002A3552" w:rsidRPr="00B34EBC" w:rsidRDefault="00AE2D0B" w:rsidP="00AE2D0B">
      <w:pPr>
        <w:widowControl w:val="0"/>
        <w:suppressAutoHyphens/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A3552" w:rsidRPr="00B34EBC">
        <w:rPr>
          <w:rFonts w:ascii="Times New Roman" w:hAnsi="Times New Roman"/>
          <w:sz w:val="24"/>
          <w:szCs w:val="24"/>
        </w:rPr>
        <w:t>Bank zarządza płynnością:</w:t>
      </w:r>
    </w:p>
    <w:p w:rsidR="002A3552" w:rsidRPr="00B34EBC" w:rsidRDefault="002A3552" w:rsidP="00AE2D0B">
      <w:pPr>
        <w:pStyle w:val="Akapitzlist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Bieżącą w tym dzienną tj. aktywnie zarządza środkami na rachunku bieżącym, lokując nadwyżki</w:t>
      </w:r>
      <w:r w:rsidR="0051540A" w:rsidRPr="00B34EBC">
        <w:rPr>
          <w:rFonts w:ascii="Times New Roman" w:hAnsi="Times New Roman"/>
          <w:sz w:val="24"/>
          <w:szCs w:val="24"/>
        </w:rPr>
        <w:t xml:space="preserve"> głównie</w:t>
      </w:r>
      <w:r w:rsidRPr="00B34EBC">
        <w:rPr>
          <w:rFonts w:ascii="Times New Roman" w:hAnsi="Times New Roman"/>
          <w:sz w:val="24"/>
          <w:szCs w:val="24"/>
        </w:rPr>
        <w:t xml:space="preserve"> w Banku Zrzeszającym oraz w bezpieczne papiery wartościowe N</w:t>
      </w:r>
      <w:r w:rsidR="0051540A" w:rsidRPr="00B34EBC">
        <w:rPr>
          <w:rFonts w:ascii="Times New Roman" w:hAnsi="Times New Roman"/>
          <w:sz w:val="24"/>
          <w:szCs w:val="24"/>
        </w:rPr>
        <w:t xml:space="preserve">arodowego </w:t>
      </w:r>
      <w:r w:rsidRPr="00B34EBC">
        <w:rPr>
          <w:rFonts w:ascii="Times New Roman" w:hAnsi="Times New Roman"/>
          <w:sz w:val="24"/>
          <w:szCs w:val="24"/>
        </w:rPr>
        <w:t>B</w:t>
      </w:r>
      <w:r w:rsidR="0051540A" w:rsidRPr="00B34EBC">
        <w:rPr>
          <w:rFonts w:ascii="Times New Roman" w:hAnsi="Times New Roman"/>
          <w:sz w:val="24"/>
          <w:szCs w:val="24"/>
        </w:rPr>
        <w:t xml:space="preserve">anku </w:t>
      </w:r>
      <w:r w:rsidRPr="00B34EBC">
        <w:rPr>
          <w:rFonts w:ascii="Times New Roman" w:hAnsi="Times New Roman"/>
          <w:sz w:val="24"/>
          <w:szCs w:val="24"/>
        </w:rPr>
        <w:t>P</w:t>
      </w:r>
      <w:r w:rsidR="0051540A" w:rsidRPr="00B34EBC">
        <w:rPr>
          <w:rFonts w:ascii="Times New Roman" w:hAnsi="Times New Roman"/>
          <w:sz w:val="24"/>
          <w:szCs w:val="24"/>
        </w:rPr>
        <w:t>olskiego</w:t>
      </w:r>
      <w:r w:rsidRPr="00B34EBC">
        <w:rPr>
          <w:rFonts w:ascii="Times New Roman" w:hAnsi="Times New Roman"/>
          <w:sz w:val="24"/>
          <w:szCs w:val="24"/>
        </w:rPr>
        <w:t xml:space="preserve"> oraz Skarbu Państwa, zarządza gotówką poprzez ustalanie limitów kasowych,</w:t>
      </w:r>
    </w:p>
    <w:p w:rsidR="002A3552" w:rsidRPr="00B34EBC" w:rsidRDefault="002A3552" w:rsidP="00B30231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Płynnością krótko i średnioterminową poprzez niezależną ocenę wskaźników płynności, wyznaczanie i monitorowanie limitów płynnościowych oraz przeprowadzanie testów warunków skrajnych, </w:t>
      </w:r>
    </w:p>
    <w:p w:rsidR="002A3552" w:rsidRPr="00B34EBC" w:rsidRDefault="002A3552" w:rsidP="00B30231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Płynnością długoterminową poprzez badanie stabilności bazy depozytowej oraz ustalanie limitów koncentracji aktywów i pasywów.  </w:t>
      </w:r>
    </w:p>
    <w:p w:rsidR="002A3552" w:rsidRPr="00B34EBC" w:rsidRDefault="007800A1" w:rsidP="007800A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2A3552" w:rsidRPr="00B34EBC">
        <w:rPr>
          <w:rFonts w:ascii="Times New Roman" w:hAnsi="Times New Roman"/>
          <w:sz w:val="24"/>
          <w:szCs w:val="24"/>
        </w:rPr>
        <w:t xml:space="preserve">łównym źródłem finansowania aktywów o długim terminie zapadalności </w:t>
      </w:r>
      <w:r w:rsidR="0051540A" w:rsidRPr="00B34EBC">
        <w:rPr>
          <w:rFonts w:ascii="Times New Roman" w:hAnsi="Times New Roman"/>
          <w:sz w:val="24"/>
          <w:szCs w:val="24"/>
        </w:rPr>
        <w:t>s</w:t>
      </w:r>
      <w:r w:rsidR="002A3552" w:rsidRPr="00B34EBC">
        <w:rPr>
          <w:rFonts w:ascii="Times New Roman" w:hAnsi="Times New Roman"/>
          <w:sz w:val="24"/>
          <w:szCs w:val="24"/>
        </w:rPr>
        <w:t>ą depozyty stabilne (obliczone na podstawie wskaźników osadu), stanowiące pewne źródło finansowania długoterminowego aktywów oraz fundusze własne Banku. Limity ostrożnościowe dotyczące finansowania długoterminowego, ograniczają znaczne zaangażowanie się Banku w tego typu aktywa.</w:t>
      </w:r>
    </w:p>
    <w:p w:rsidR="002A3552" w:rsidRDefault="002A3552" w:rsidP="007800A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W celu kształtowania odpowiedniej struktury aktywów i pasywów Bank prowadzi aktywną politykę stóp procentowych.</w:t>
      </w:r>
    </w:p>
    <w:p w:rsidR="00AE2D0B" w:rsidRPr="00B34EBC" w:rsidRDefault="00AE2D0B" w:rsidP="007800A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A3552" w:rsidRPr="00B34EBC" w:rsidRDefault="002A3552" w:rsidP="00B34EBC">
      <w:pPr>
        <w:pStyle w:val="Nagwek3"/>
        <w:keepLines w:val="0"/>
        <w:numPr>
          <w:ilvl w:val="2"/>
          <w:numId w:val="0"/>
        </w:numPr>
        <w:tabs>
          <w:tab w:val="num" w:pos="1288"/>
        </w:tabs>
        <w:spacing w:before="240" w:after="60"/>
        <w:ind w:left="1288" w:hanging="720"/>
        <w:rPr>
          <w:rFonts w:ascii="Times New Roman" w:hAnsi="Times New Roman"/>
          <w:color w:val="833C0B"/>
          <w:u w:val="single"/>
        </w:rPr>
      </w:pPr>
      <w:bookmarkStart w:id="1" w:name="_Toc450734994"/>
      <w:r w:rsidRPr="00B34EBC">
        <w:rPr>
          <w:rFonts w:ascii="Times New Roman" w:hAnsi="Times New Roman"/>
          <w:b/>
          <w:color w:val="auto"/>
          <w:u w:val="single"/>
        </w:rPr>
        <w:lastRenderedPageBreak/>
        <w:t>Ryzyko stopy procentowej</w:t>
      </w:r>
      <w:bookmarkEnd w:id="1"/>
      <w:r w:rsidRPr="00B34EBC">
        <w:rPr>
          <w:rFonts w:ascii="Times New Roman" w:hAnsi="Times New Roman"/>
          <w:color w:val="833C0B"/>
          <w:u w:val="single"/>
        </w:rPr>
        <w:t xml:space="preserve"> </w:t>
      </w:r>
    </w:p>
    <w:p w:rsidR="002A3552" w:rsidRPr="00B34EBC" w:rsidRDefault="002A3552" w:rsidP="00B34EBC">
      <w:pPr>
        <w:tabs>
          <w:tab w:val="left" w:pos="709"/>
          <w:tab w:val="num" w:pos="1440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4EBC">
        <w:rPr>
          <w:rFonts w:ascii="Times New Roman" w:hAnsi="Times New Roman"/>
          <w:b/>
          <w:sz w:val="24"/>
          <w:szCs w:val="24"/>
        </w:rPr>
        <w:t>Celem strategicznym w zakresie zarządzania ryzykiem stopy procentowej jest:</w:t>
      </w:r>
    </w:p>
    <w:p w:rsidR="002A3552" w:rsidRPr="00B34EBC" w:rsidRDefault="002A3552" w:rsidP="00B30231">
      <w:pPr>
        <w:numPr>
          <w:ilvl w:val="0"/>
          <w:numId w:val="34"/>
        </w:numPr>
        <w:tabs>
          <w:tab w:val="left" w:pos="709"/>
        </w:tabs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Minimalizowanie ryzyka związanego z możliwością wystąpienia niekorzystnych zmian rynkowych stóp procentowych i negatywnym wpływem tych zmian na sytuację finansową Banku,</w:t>
      </w:r>
    </w:p>
    <w:p w:rsidR="002A3552" w:rsidRPr="00B34EBC" w:rsidRDefault="002A3552" w:rsidP="00B30231">
      <w:pPr>
        <w:numPr>
          <w:ilvl w:val="0"/>
          <w:numId w:val="34"/>
        </w:numPr>
        <w:tabs>
          <w:tab w:val="left" w:pos="709"/>
        </w:tabs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Zidentyfikowanie podstawowych zagrożeń związanych z ryzykiem stopy procentowej, z jednoczesnym zastosowaniem odpowiednich metod zarządzania tym ryzykiem, mających na celu eliminację zagrożeń nierównomiernej reakcji różnych pozycji bilansowych na zmiany stóp procentowych, a przez to na różny poziom zmian przychodów i kosztów, co w konsekwencji ma pozwolić utrzymać zdolność do wywiązywania się w sposób optymalny z bieżących i przyszłych zobowiązań bilansowych, jak i pozabilansowych, przy zapewnieniu pożądanego wyniku finansowego oraz realnej wartości posiadanych kapitałów.</w:t>
      </w:r>
    </w:p>
    <w:p w:rsidR="002A3552" w:rsidRPr="00B34EBC" w:rsidRDefault="002A3552" w:rsidP="00B34EBC">
      <w:pPr>
        <w:widowControl w:val="0"/>
        <w:tabs>
          <w:tab w:val="num" w:pos="851"/>
          <w:tab w:val="num" w:pos="1134"/>
        </w:tabs>
        <w:suppressAutoHyphens/>
        <w:ind w:left="708"/>
        <w:jc w:val="both"/>
        <w:rPr>
          <w:rFonts w:ascii="Times New Roman" w:hAnsi="Times New Roman"/>
          <w:sz w:val="24"/>
          <w:szCs w:val="24"/>
        </w:rPr>
      </w:pPr>
    </w:p>
    <w:p w:rsidR="002A3552" w:rsidRPr="00B34EBC" w:rsidRDefault="002A3552" w:rsidP="00B34EBC">
      <w:pPr>
        <w:widowControl w:val="0"/>
        <w:tabs>
          <w:tab w:val="num" w:pos="851"/>
          <w:tab w:val="num" w:pos="1134"/>
        </w:tabs>
        <w:suppressAutoHyphens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34EBC">
        <w:rPr>
          <w:rFonts w:ascii="Times New Roman" w:hAnsi="Times New Roman"/>
          <w:b/>
          <w:sz w:val="24"/>
          <w:szCs w:val="24"/>
        </w:rPr>
        <w:t>Realizacja strategii Banku w zakresie zarządzania ryzykiem stopy procentowej oparta jest m.in. na następujących zasadach:</w:t>
      </w:r>
    </w:p>
    <w:p w:rsidR="002A3552" w:rsidRPr="00B34EBC" w:rsidRDefault="002A3552" w:rsidP="00B30231">
      <w:pPr>
        <w:widowControl w:val="0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do pomiaru ryzyka stopy procentowej Bank stosuje metodę luki stopy procentowej,</w:t>
      </w:r>
    </w:p>
    <w:p w:rsidR="002A3552" w:rsidRPr="00B34EBC" w:rsidRDefault="002A3552" w:rsidP="00B30231">
      <w:pPr>
        <w:widowControl w:val="0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do oceny tego ryzyka Bank może dodatkowo wykorzystywać również inne metody, np. badania symulacyjne wpływu zmian stóp procentowych na przychody odsetkowe, koszty odsetkowe i w konsekwencji na zmiany wyniku odsetkowego,</w:t>
      </w:r>
    </w:p>
    <w:p w:rsidR="002A3552" w:rsidRPr="00B34EBC" w:rsidRDefault="002A3552" w:rsidP="00B30231">
      <w:pPr>
        <w:widowControl w:val="0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zarządzanie ryzykiem stopy procentowej koncentruje się na zarządzaniu ryzykiem przeszacowania, ryzykiem bazowym, na kontroli ryzyka opcji klienta oraz na analizie zmian w zakresie krzywej dochodowości (ryzyko krzywej dochodowości) i ewentualnego wpływu tych zmian na wynik odsetkowy,</w:t>
      </w:r>
    </w:p>
    <w:p w:rsidR="002A3552" w:rsidRPr="00B34EBC" w:rsidRDefault="002A3552" w:rsidP="00B30231">
      <w:pPr>
        <w:widowControl w:val="0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Bank ogranicza poziom ryzyka stopy procentowej poprzez stosowanie systemu limitów i odpowiednie kształtowanie struktury aktywów, pasywów i zobowiązań pozabilansowych.</w:t>
      </w:r>
    </w:p>
    <w:p w:rsidR="002A3552" w:rsidRPr="00B34EBC" w:rsidRDefault="002A3552" w:rsidP="007800A1">
      <w:pPr>
        <w:pStyle w:val="Nagwek3"/>
        <w:keepLines w:val="0"/>
        <w:spacing w:before="240" w:after="60"/>
        <w:rPr>
          <w:rFonts w:ascii="Times New Roman" w:hAnsi="Times New Roman"/>
          <w:b/>
          <w:color w:val="833C0B"/>
          <w:u w:val="single"/>
        </w:rPr>
      </w:pPr>
      <w:bookmarkStart w:id="2" w:name="_Toc450734996"/>
      <w:r w:rsidRPr="00B34EBC">
        <w:rPr>
          <w:rFonts w:ascii="Times New Roman" w:hAnsi="Times New Roman"/>
          <w:b/>
          <w:color w:val="auto"/>
          <w:u w:val="single"/>
        </w:rPr>
        <w:t>Ryzyko operacyjne</w:t>
      </w:r>
      <w:bookmarkEnd w:id="2"/>
      <w:r w:rsidRPr="00B34EBC">
        <w:rPr>
          <w:rFonts w:ascii="Times New Roman" w:hAnsi="Times New Roman"/>
          <w:b/>
          <w:color w:val="auto"/>
          <w:u w:val="single"/>
        </w:rPr>
        <w:t>:</w:t>
      </w:r>
      <w:r w:rsidRPr="00B34EBC">
        <w:rPr>
          <w:rFonts w:ascii="Times New Roman" w:hAnsi="Times New Roman"/>
          <w:b/>
          <w:color w:val="833C0B"/>
          <w:u w:val="single"/>
        </w:rPr>
        <w:t xml:space="preserve"> </w:t>
      </w:r>
    </w:p>
    <w:p w:rsidR="002A3552" w:rsidRPr="00B34EBC" w:rsidRDefault="002A3552" w:rsidP="00B34EBC">
      <w:pPr>
        <w:widowControl w:val="0"/>
        <w:suppressAutoHyphens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34EBC">
        <w:rPr>
          <w:rFonts w:ascii="Times New Roman" w:hAnsi="Times New Roman"/>
          <w:b/>
          <w:sz w:val="24"/>
          <w:szCs w:val="24"/>
        </w:rPr>
        <w:t>Celem strategicznym w zakresie zarządzania ryzykiem operacyjnym jest:</w:t>
      </w:r>
    </w:p>
    <w:p w:rsidR="002A3552" w:rsidRPr="00B34EBC" w:rsidRDefault="002A3552" w:rsidP="00B30231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Utrzymanie narażenia Banku na wystąpienie strat z tytułu zdarzeń ryzyka operacyjnego na akceptowalnym przez Zarząd i Radę Nadzorczą, bezpiecznym dla działania i rozwoju poziomie,</w:t>
      </w:r>
    </w:p>
    <w:p w:rsidR="002A3552" w:rsidRPr="00B34EBC" w:rsidRDefault="002A3552" w:rsidP="00B30231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Optymalizacja efektywności gospodarowania poprzez zapobieganie i minimalizowanie strat operacyjnych oraz wyeliminowanie przyczyn ich powstawania, racjonalizacja kosztów, jak również zwiększenie szybkości oraz adekwatności reak</w:t>
      </w:r>
      <w:r w:rsidR="003719BB" w:rsidRPr="00B34EBC">
        <w:rPr>
          <w:rFonts w:ascii="Times New Roman" w:hAnsi="Times New Roman"/>
          <w:snapToGrid w:val="0"/>
          <w:position w:val="-10"/>
          <w:sz w:val="24"/>
          <w:szCs w:val="24"/>
        </w:rPr>
        <w:t xml:space="preserve">cji Banku na zdarzenia </w:t>
      </w: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niezależne</w:t>
      </w:r>
      <w:r w:rsidR="003719BB" w:rsidRPr="00B34EBC">
        <w:rPr>
          <w:rFonts w:ascii="Times New Roman" w:hAnsi="Times New Roman"/>
          <w:snapToGrid w:val="0"/>
          <w:position w:val="-10"/>
          <w:sz w:val="24"/>
          <w:szCs w:val="24"/>
        </w:rPr>
        <w:t xml:space="preserve"> od jego działań</w:t>
      </w: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>,</w:t>
      </w:r>
    </w:p>
    <w:p w:rsidR="002A3552" w:rsidRPr="00B34EBC" w:rsidRDefault="002A3552" w:rsidP="00B30231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napToGrid w:val="0"/>
          <w:position w:val="-10"/>
          <w:sz w:val="24"/>
          <w:szCs w:val="24"/>
        </w:rPr>
      </w:pP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t xml:space="preserve">Wdrożenie efektywnej struktury zarządzania ryzykiem operacyjnym, w tym określenie ról i odpowiedzialności w zakresie zarządzania ryzykiem operacyjnym, </w:t>
      </w:r>
      <w:r w:rsidRPr="00B34EBC">
        <w:rPr>
          <w:rFonts w:ascii="Times New Roman" w:hAnsi="Times New Roman"/>
          <w:snapToGrid w:val="0"/>
          <w:position w:val="-10"/>
          <w:sz w:val="24"/>
          <w:szCs w:val="24"/>
        </w:rPr>
        <w:lastRenderedPageBreak/>
        <w:t>zgłaszania, rejestrowania i analizowania zdarzeń ryzyka operacyjnego oraz wprowadzania działań zabezpieczających,</w:t>
      </w:r>
    </w:p>
    <w:p w:rsidR="002A3552" w:rsidRPr="00B34EBC" w:rsidRDefault="002A3552" w:rsidP="00B34EBC">
      <w:pPr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</w:p>
    <w:p w:rsidR="002A3552" w:rsidRPr="00B34EBC" w:rsidRDefault="002A3552" w:rsidP="00B34EBC">
      <w:pPr>
        <w:widowControl w:val="0"/>
        <w:suppressAutoHyphens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34EBC">
        <w:rPr>
          <w:rFonts w:ascii="Times New Roman" w:hAnsi="Times New Roman"/>
          <w:b/>
          <w:sz w:val="24"/>
          <w:szCs w:val="24"/>
        </w:rPr>
        <w:t>Cele szczegółowe to:</w:t>
      </w:r>
    </w:p>
    <w:p w:rsidR="002A3552" w:rsidRPr="00B34EBC" w:rsidRDefault="002A3552" w:rsidP="00B30231">
      <w:pPr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zapewnienie świadomości występowania ryzyka operacyjnego obciążającego Bank na wszystkich szczeblach zarządzania,</w:t>
      </w:r>
    </w:p>
    <w:p w:rsidR="002A3552" w:rsidRPr="00B34EBC" w:rsidRDefault="002A3552" w:rsidP="00B30231">
      <w:pPr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wdrożenie i systematyczna weryfikacja procesów zapobiegania występowaniu oraz zmniejszania skutków ryzyka, odpowiednio do rodzaju ryzyka i jego możliwego wpływu na wynik Banku,</w:t>
      </w:r>
    </w:p>
    <w:p w:rsidR="002A3552" w:rsidRPr="00B34EBC" w:rsidRDefault="002A3552" w:rsidP="00B30231">
      <w:pPr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zapewnienie opłacalności stosowania wybranych metod ograniczania ryzyka, odpowiednio do skali działania Banku i wielkości ryzyka,</w:t>
      </w:r>
    </w:p>
    <w:p w:rsidR="002A3552" w:rsidRPr="00B34EBC" w:rsidRDefault="002A3552" w:rsidP="00B30231">
      <w:pPr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ochrona informacji poprzez wdrożenie metod ochrony danych osobowych w oparciu o zapisy ustawy o ochronie danych osobowych oraz zapewnienia bezpieczeństwa systemów informatycznych i informacji, zgodnie z zapisami Rekomendacji „D”,</w:t>
      </w:r>
    </w:p>
    <w:p w:rsidR="002A3552" w:rsidRPr="00B34EBC" w:rsidRDefault="002A3552" w:rsidP="00B30231">
      <w:pPr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zapewnienie skutecznego systemu przeciwdziałania wprowadzaniu do obrotu środków pochodzących z nielegalnych źródeł oraz przeciwdziałaniu terroryzmu. </w:t>
      </w:r>
    </w:p>
    <w:p w:rsidR="002A3552" w:rsidRPr="00B34EBC" w:rsidRDefault="002A3552" w:rsidP="006A766B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Zakładany wzrost skali działalności stanowi jednocześnie wzrost ekspozycji Banku na ryzyko operacyjne. W związku z powyższym istotnym jest zwiększenie efektywności procesu zarządzania ryzykiem operacyjnym, m.in. poprzez wzmocnienie mechanizmów kontrolnych, w celu ograniczania możliwości wystąpienia zdarzeń operacyjnych, generujących straty.</w:t>
      </w:r>
    </w:p>
    <w:p w:rsidR="002A3552" w:rsidRPr="00B34EBC" w:rsidRDefault="002A3552" w:rsidP="006A766B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34EBC">
        <w:rPr>
          <w:rFonts w:ascii="Times New Roman" w:hAnsi="Times New Roman"/>
          <w:b/>
          <w:sz w:val="24"/>
          <w:szCs w:val="24"/>
        </w:rPr>
        <w:t>Celem strategicznym w zakresie systemów informatycznych i ich bezpieczeństwa, jako istotnego elementu ryzyka operacyjnego, jest:</w:t>
      </w:r>
    </w:p>
    <w:p w:rsidR="002A3552" w:rsidRPr="00B34EBC" w:rsidRDefault="002A3552" w:rsidP="00B30231">
      <w:pPr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bieżące dostosowywanie systemu do wymogów prawa, </w:t>
      </w:r>
    </w:p>
    <w:p w:rsidR="002A3552" w:rsidRPr="00B34EBC" w:rsidRDefault="002A3552" w:rsidP="00B30231">
      <w:pPr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wprowadzanie nowych produktów,</w:t>
      </w:r>
    </w:p>
    <w:p w:rsidR="002A3552" w:rsidRPr="00B34EBC" w:rsidRDefault="002A3552" w:rsidP="00B30231">
      <w:pPr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wprowadzanie nowych wersji oprogramowania, w tym oprogramowania wspomagającego zarządzanie ryzykiem, a także programów służących bezpieczeństwu sieci i systemów informatycznych,</w:t>
      </w:r>
    </w:p>
    <w:p w:rsidR="002A3552" w:rsidRPr="00B34EBC" w:rsidRDefault="002A3552" w:rsidP="00B30231">
      <w:pPr>
        <w:widowControl w:val="0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monitorowanie zgodności z zaleceniami Rekomendacji D.</w:t>
      </w:r>
    </w:p>
    <w:p w:rsidR="00AE2D0B" w:rsidRDefault="00AE2D0B" w:rsidP="00B34EB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3552" w:rsidRPr="00B34EBC" w:rsidRDefault="002A3552" w:rsidP="00B34EB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4EBC">
        <w:rPr>
          <w:rFonts w:ascii="Times New Roman" w:hAnsi="Times New Roman"/>
          <w:b/>
          <w:sz w:val="24"/>
          <w:szCs w:val="24"/>
          <w:u w:val="single"/>
        </w:rPr>
        <w:t>Ryzyko wyniku finansowego:</w:t>
      </w:r>
    </w:p>
    <w:p w:rsidR="002A3552" w:rsidRPr="00B34EBC" w:rsidRDefault="002A3552" w:rsidP="00B34EB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A3552" w:rsidRPr="00B34EBC" w:rsidRDefault="002A3552" w:rsidP="00B34EBC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34EBC">
        <w:rPr>
          <w:rFonts w:ascii="Times New Roman" w:hAnsi="Times New Roman"/>
          <w:b/>
          <w:sz w:val="24"/>
          <w:szCs w:val="24"/>
        </w:rPr>
        <w:t>Celem strategicznym w zakresie ryzyka wyniku finansowego jest wypracowanie takiej wielkości zysku, który zagwarantuje stały wzrost funduszy własnych, dostosowany do poziomu podejmowanego ryzyka.</w:t>
      </w:r>
    </w:p>
    <w:p w:rsidR="002A3552" w:rsidRPr="00B34EBC" w:rsidRDefault="002A3552" w:rsidP="00B34EB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A3552" w:rsidRPr="00B34EBC" w:rsidRDefault="002A3552" w:rsidP="00B34EB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Proces zarządzania ryzykiem wyniku finansowego jest elementem zarządzania ryzykiem biznesowym  i obejmuje proces planowania, w tym planowania wieloletniego (strategia działania) oraz monitorowania wykonania planu.</w:t>
      </w:r>
    </w:p>
    <w:p w:rsidR="002A3552" w:rsidRPr="00B34EBC" w:rsidRDefault="002A3552" w:rsidP="00B34EB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lastRenderedPageBreak/>
        <w:t>Realizacja celu strategicznego w zakresie ryzyka biznesowego (w tym wyniku finansowego) odbywa się poprzez podejmowanie następujących działań:</w:t>
      </w:r>
    </w:p>
    <w:p w:rsidR="002A3552" w:rsidRPr="00B34EBC" w:rsidRDefault="002A3552" w:rsidP="00B302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Angażowanie się Banku w lokalny rozwój poprzez współpracę z klientami i jednostkami samorządu terytorialnego, </w:t>
      </w:r>
    </w:p>
    <w:p w:rsidR="002A3552" w:rsidRPr="00B34EBC" w:rsidRDefault="002A3552" w:rsidP="00B302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Analiza potrzeb klientów i rozpoznanie możliwości ich zaspokajania,</w:t>
      </w:r>
    </w:p>
    <w:p w:rsidR="002A3552" w:rsidRPr="00B34EBC" w:rsidRDefault="002A3552" w:rsidP="00B302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Analiza konkurencji w zakresie rozwoju oferty oraz polityki cenowej,</w:t>
      </w:r>
    </w:p>
    <w:p w:rsidR="002A3552" w:rsidRPr="00B34EBC" w:rsidRDefault="002A3552" w:rsidP="00B302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Dostosowanie oferty produktowej oraz cenowej do oczekiwań klientów,</w:t>
      </w:r>
    </w:p>
    <w:p w:rsidR="002A3552" w:rsidRPr="00B34EBC" w:rsidRDefault="002A3552" w:rsidP="00B302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Zapewnienie konkurencyjności cen oferowanych produktów,</w:t>
      </w:r>
    </w:p>
    <w:p w:rsidR="002A3552" w:rsidRPr="00B34EBC" w:rsidRDefault="002A3552" w:rsidP="00B302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Elastyczność w zakresie konstrukcji produktów oraz negocjowania cen,</w:t>
      </w:r>
    </w:p>
    <w:p w:rsidR="002A3552" w:rsidRPr="00B34EBC" w:rsidRDefault="002A3552" w:rsidP="00B302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Prowadzenie działań promocyjnych i reklamowych, w tym współpraca z Bankiem Zrzeszającym, udział w lokalnych imprezach (dożynki, dni </w:t>
      </w:r>
      <w:r w:rsidR="00237FD0">
        <w:rPr>
          <w:rFonts w:ascii="Times New Roman" w:hAnsi="Times New Roman"/>
          <w:sz w:val="24"/>
          <w:szCs w:val="24"/>
        </w:rPr>
        <w:t>Gminy</w:t>
      </w:r>
      <w:r w:rsidRPr="00B34EBC">
        <w:rPr>
          <w:rFonts w:ascii="Times New Roman" w:hAnsi="Times New Roman"/>
          <w:sz w:val="24"/>
          <w:szCs w:val="24"/>
        </w:rPr>
        <w:t xml:space="preserve"> itp.),</w:t>
      </w:r>
    </w:p>
    <w:p w:rsidR="002A3552" w:rsidRPr="00B34EBC" w:rsidRDefault="002A3552" w:rsidP="00B302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Aktywizacja sprzedaży poprzez szkolenia sprzedażowe,</w:t>
      </w:r>
      <w:r w:rsidR="00FA60E3" w:rsidRPr="00B34EBC">
        <w:rPr>
          <w:rFonts w:ascii="Times New Roman" w:hAnsi="Times New Roman"/>
          <w:sz w:val="24"/>
          <w:szCs w:val="24"/>
        </w:rPr>
        <w:t xml:space="preserve"> budowanie postaw </w:t>
      </w:r>
      <w:proofErr w:type="spellStart"/>
      <w:r w:rsidR="00FA60E3" w:rsidRPr="00B34EBC">
        <w:rPr>
          <w:rFonts w:ascii="Times New Roman" w:hAnsi="Times New Roman"/>
          <w:sz w:val="24"/>
          <w:szCs w:val="24"/>
        </w:rPr>
        <w:t>prosprzedażowych</w:t>
      </w:r>
      <w:proofErr w:type="spellEnd"/>
      <w:r w:rsidR="00FA60E3" w:rsidRPr="00B34EBC">
        <w:rPr>
          <w:rFonts w:ascii="Times New Roman" w:hAnsi="Times New Roman"/>
          <w:sz w:val="24"/>
          <w:szCs w:val="24"/>
        </w:rPr>
        <w:t>,</w:t>
      </w:r>
    </w:p>
    <w:p w:rsidR="002A3552" w:rsidRPr="00B34EBC" w:rsidRDefault="002A3552" w:rsidP="00B302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Optymalizacja kosztów poprzez między innymi automatyzację procesów obsługi klienta oraz procesów sprawozdawczych.</w:t>
      </w:r>
    </w:p>
    <w:p w:rsidR="002A3552" w:rsidRPr="00B34EBC" w:rsidRDefault="002A3552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Bank w ramach procesu planowania określa plany sprzedażowe, przeprowadza analizę czynników mogących mieć wpływ na wynik finansowy, tworzy plany działań awaryjnych mających na celu wypracowanie założonych wyników finansowych.</w:t>
      </w:r>
    </w:p>
    <w:p w:rsidR="002A3552" w:rsidRPr="00B34EBC" w:rsidRDefault="002A3552" w:rsidP="00B34E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Informacja o stopniu realizacji planów ekonomiczno - finansowych oraz strategicznych jest okresowo raportowana Zarządowi oraz Radzie Nadzorczej, zgodnie z Systemem Informacji Zarządczej.</w:t>
      </w:r>
    </w:p>
    <w:p w:rsidR="002A3552" w:rsidRPr="00B34EBC" w:rsidRDefault="002A3552" w:rsidP="00B34EB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34EBC">
        <w:rPr>
          <w:rFonts w:ascii="Times New Roman" w:hAnsi="Times New Roman"/>
          <w:b/>
          <w:sz w:val="24"/>
          <w:szCs w:val="24"/>
        </w:rPr>
        <w:t xml:space="preserve"> </w:t>
      </w:r>
    </w:p>
    <w:p w:rsidR="009B190C" w:rsidRPr="00B34EBC" w:rsidRDefault="009B190C" w:rsidP="00B34EB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4EBC">
        <w:rPr>
          <w:rFonts w:ascii="Times New Roman" w:hAnsi="Times New Roman"/>
          <w:b/>
          <w:sz w:val="24"/>
          <w:szCs w:val="24"/>
          <w:u w:val="single"/>
        </w:rPr>
        <w:t>Ryzyko kapitałowe:</w:t>
      </w:r>
    </w:p>
    <w:p w:rsidR="009B190C" w:rsidRPr="00B34EBC" w:rsidRDefault="009B190C" w:rsidP="00B34EBC">
      <w:pPr>
        <w:rPr>
          <w:rFonts w:ascii="Times New Roman" w:hAnsi="Times New Roman"/>
          <w:bCs/>
          <w:sz w:val="24"/>
          <w:szCs w:val="24"/>
        </w:rPr>
      </w:pPr>
    </w:p>
    <w:p w:rsidR="009B190C" w:rsidRPr="00B34EBC" w:rsidRDefault="009B190C" w:rsidP="00B34EBC">
      <w:pPr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Poziom funduszy własnych Banku powinien być dostosowany (adekwatny) do skali, złożoności i profilu ryzyka Banku.</w:t>
      </w:r>
    </w:p>
    <w:p w:rsidR="009B190C" w:rsidRPr="00B34EBC" w:rsidRDefault="009B190C" w:rsidP="00B34EBC">
      <w:pPr>
        <w:rPr>
          <w:rFonts w:ascii="Times New Roman" w:hAnsi="Times New Roman"/>
          <w:b/>
          <w:bCs/>
          <w:sz w:val="24"/>
          <w:szCs w:val="24"/>
        </w:rPr>
      </w:pPr>
      <w:r w:rsidRPr="00B34EBC">
        <w:rPr>
          <w:rFonts w:ascii="Times New Roman" w:hAnsi="Times New Roman"/>
          <w:b/>
          <w:bCs/>
          <w:sz w:val="24"/>
          <w:szCs w:val="24"/>
        </w:rPr>
        <w:t>Podstawowym celem strategicznym w zakresie adekwatności kapitałowej jest budowa odpowiednich funduszy własnych, zapewniających bezpieczeństwo zgromadzonych depozytów, przy osiąganiu planowanego poziomu rentowności prowadzonej działalności.</w:t>
      </w:r>
    </w:p>
    <w:p w:rsidR="00AE2D0B" w:rsidRDefault="00AE2D0B" w:rsidP="00B34EBC">
      <w:pPr>
        <w:rPr>
          <w:rFonts w:ascii="Times New Roman" w:hAnsi="Times New Roman"/>
          <w:bCs/>
          <w:sz w:val="24"/>
          <w:szCs w:val="24"/>
        </w:rPr>
      </w:pPr>
    </w:p>
    <w:p w:rsidR="009B190C" w:rsidRPr="00B34EBC" w:rsidRDefault="009B190C" w:rsidP="00B34EBC">
      <w:pPr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Cel ten jest realizowany poprzez zarządzanie adekwatnością kapitałową obejmujące podstawowe kierunki działań (cele pośrednie):</w:t>
      </w:r>
    </w:p>
    <w:p w:rsidR="009B190C" w:rsidRPr="00B34EBC" w:rsidRDefault="009B190C" w:rsidP="00B30231">
      <w:pPr>
        <w:widowControl w:val="0"/>
        <w:numPr>
          <w:ilvl w:val="1"/>
          <w:numId w:val="10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sukcesywne zwiększanie wysokości funduszy własnych,</w:t>
      </w:r>
    </w:p>
    <w:p w:rsidR="009B190C" w:rsidRPr="00B34EBC" w:rsidRDefault="009B190C" w:rsidP="00B30231">
      <w:pPr>
        <w:widowControl w:val="0"/>
        <w:numPr>
          <w:ilvl w:val="1"/>
          <w:numId w:val="10"/>
        </w:numPr>
        <w:suppressAutoHyphens/>
        <w:spacing w:after="0"/>
        <w:ind w:left="709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 xml:space="preserve">zapewnienie odpowiedniej struktury funduszy własnych, </w:t>
      </w:r>
    </w:p>
    <w:p w:rsidR="009B190C" w:rsidRPr="00B34EBC" w:rsidRDefault="009B190C" w:rsidP="00B30231">
      <w:pPr>
        <w:widowControl w:val="0"/>
        <w:numPr>
          <w:ilvl w:val="1"/>
          <w:numId w:val="10"/>
        </w:numPr>
        <w:suppressAutoHyphens/>
        <w:spacing w:after="0"/>
        <w:ind w:left="709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 xml:space="preserve">odpowiednie kształtowanie struktury bilansu Banku w celu utrzymania planowanego poziomu wymogów kapitałowych, dostosowanych do wymagań Rozporządzenia 575/2013 UE. </w:t>
      </w:r>
    </w:p>
    <w:p w:rsidR="009B190C" w:rsidRPr="00B34EBC" w:rsidRDefault="009B190C" w:rsidP="00B30231">
      <w:pPr>
        <w:widowControl w:val="0"/>
        <w:numPr>
          <w:ilvl w:val="1"/>
          <w:numId w:val="10"/>
        </w:numPr>
        <w:suppressAutoHyphens/>
        <w:spacing w:after="0"/>
        <w:ind w:left="709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Optymalne zarządzanie ryzykiem bankowym.</w:t>
      </w:r>
    </w:p>
    <w:p w:rsidR="009B190C" w:rsidRPr="00B34EBC" w:rsidRDefault="009B190C" w:rsidP="00B34EBC">
      <w:pPr>
        <w:rPr>
          <w:rFonts w:ascii="Times New Roman" w:hAnsi="Times New Roman"/>
          <w:b/>
          <w:bCs/>
          <w:sz w:val="24"/>
          <w:szCs w:val="24"/>
        </w:rPr>
      </w:pPr>
    </w:p>
    <w:p w:rsidR="009B190C" w:rsidRPr="00B34EBC" w:rsidRDefault="009B190C" w:rsidP="00B34EBC">
      <w:pPr>
        <w:rPr>
          <w:rFonts w:ascii="Times New Roman" w:hAnsi="Times New Roman"/>
          <w:b/>
          <w:bCs/>
          <w:sz w:val="24"/>
          <w:szCs w:val="24"/>
        </w:rPr>
      </w:pPr>
      <w:r w:rsidRPr="00B34EBC">
        <w:rPr>
          <w:rFonts w:ascii="Times New Roman" w:hAnsi="Times New Roman"/>
          <w:b/>
          <w:bCs/>
          <w:sz w:val="24"/>
          <w:szCs w:val="24"/>
        </w:rPr>
        <w:lastRenderedPageBreak/>
        <w:t>Poziom funduszy własnych:</w:t>
      </w:r>
    </w:p>
    <w:p w:rsidR="009B190C" w:rsidRPr="00B34EBC" w:rsidRDefault="009B190C" w:rsidP="00B30231">
      <w:pPr>
        <w:pStyle w:val="Tekstpodstawowy2"/>
        <w:widowControl/>
        <w:numPr>
          <w:ilvl w:val="0"/>
          <w:numId w:val="13"/>
        </w:numPr>
        <w:tabs>
          <w:tab w:val="clear" w:pos="360"/>
          <w:tab w:val="num" w:pos="-384"/>
        </w:tabs>
        <w:suppressAutoHyphens w:val="0"/>
        <w:spacing w:after="0" w:line="276" w:lineRule="auto"/>
        <w:jc w:val="both"/>
      </w:pPr>
      <w:r w:rsidRPr="00B34EBC">
        <w:t>Bank jest zobowiązany utrzymywać Kapitał założycielski w wysokości nie niższej niż równowartość 1 000 000 euro, przeliczonej według kursu średniego ogłaszanego przez NBP, obowiązującego w dniu sprawozdawczym.</w:t>
      </w:r>
    </w:p>
    <w:p w:rsidR="009B190C" w:rsidRPr="00B34EBC" w:rsidRDefault="009B190C" w:rsidP="00B30231">
      <w:pPr>
        <w:pStyle w:val="Tekstpodstawowy2"/>
        <w:widowControl/>
        <w:numPr>
          <w:ilvl w:val="0"/>
          <w:numId w:val="13"/>
        </w:numPr>
        <w:tabs>
          <w:tab w:val="clear" w:pos="360"/>
          <w:tab w:val="num" w:pos="-384"/>
        </w:tabs>
        <w:suppressAutoHyphens w:val="0"/>
        <w:spacing w:after="0" w:line="276" w:lineRule="auto"/>
        <w:jc w:val="both"/>
      </w:pPr>
      <w:r w:rsidRPr="00B34EBC">
        <w:t>Bank jest zobowiązany do utrzymywania sumy funduszy własnych na poziomie nie niższym niż wyższa z następujących wartości:</w:t>
      </w:r>
    </w:p>
    <w:p w:rsidR="009B190C" w:rsidRPr="00B34EBC" w:rsidRDefault="009B190C" w:rsidP="00B30231">
      <w:pPr>
        <w:pStyle w:val="Tekstkomentarza1"/>
        <w:numPr>
          <w:ilvl w:val="0"/>
          <w:numId w:val="12"/>
        </w:numPr>
        <w:tabs>
          <w:tab w:val="clear" w:pos="1065"/>
          <w:tab w:val="num" w:pos="321"/>
        </w:tabs>
        <w:spacing w:line="276" w:lineRule="auto"/>
        <w:rPr>
          <w:szCs w:val="24"/>
        </w:rPr>
      </w:pPr>
      <w:r w:rsidRPr="00B34EBC">
        <w:rPr>
          <w:szCs w:val="24"/>
        </w:rPr>
        <w:t>suma wymogów kapitałowych z tytułu poszczególnych rodzajów ryzyka oraz wymogów kapitałowych z tytułu przekroczenia limitów i naruszenia innych norm określonych w ustawie Prawo bankowe, powiększonych o bufory kapitału (bezpieczeństwa i antycykliczny), z uwzględnieniem okresów przejściowych określonych w pakiecie CRD IV / CRR.</w:t>
      </w:r>
    </w:p>
    <w:p w:rsidR="009B190C" w:rsidRPr="00B34EBC" w:rsidRDefault="009B190C" w:rsidP="00B30231">
      <w:pPr>
        <w:pStyle w:val="Tekstkomentarza1"/>
        <w:numPr>
          <w:ilvl w:val="0"/>
          <w:numId w:val="12"/>
        </w:numPr>
        <w:tabs>
          <w:tab w:val="clear" w:pos="1065"/>
          <w:tab w:val="num" w:pos="321"/>
        </w:tabs>
        <w:spacing w:line="276" w:lineRule="auto"/>
        <w:rPr>
          <w:szCs w:val="24"/>
        </w:rPr>
      </w:pPr>
      <w:r w:rsidRPr="00B34EBC">
        <w:rPr>
          <w:szCs w:val="24"/>
        </w:rPr>
        <w:t>oszacowana przez bank kwota, niezbędna do pokrycia wszystkich zidentyfikowanych, istotnych rodzajów ryzyka występujących w działalności banku oraz zmian otoczenia gospodarczego, uwzględniająca przewidywany poziom ryzyka (kapitał wewnętrzny), powiększona o bufory kapitału (bezpieczeństwa i antycykliczny), z uwzględnieniem okresów przejściowych określonych w pakiecie CRD IV / CRR.</w:t>
      </w:r>
    </w:p>
    <w:p w:rsidR="009B190C" w:rsidRPr="00B34EBC" w:rsidRDefault="009B190C" w:rsidP="00B30231">
      <w:pPr>
        <w:pStyle w:val="Tekstpodstawowy2"/>
        <w:widowControl/>
        <w:numPr>
          <w:ilvl w:val="0"/>
          <w:numId w:val="13"/>
        </w:numPr>
        <w:tabs>
          <w:tab w:val="clear" w:pos="360"/>
          <w:tab w:val="num" w:pos="-384"/>
        </w:tabs>
        <w:suppressAutoHyphens w:val="0"/>
        <w:spacing w:after="0" w:line="276" w:lineRule="auto"/>
        <w:jc w:val="both"/>
      </w:pPr>
      <w:r w:rsidRPr="00B34EBC">
        <w:t>Bank jest zobowiązany do utrzymywania łącznego wskaźnika kapitałowego (TCR) na poziomie co najmniej 13,25%, oraz współczynnika kapitału TIER 1 (T1) na poziomie nie niższym niż 10,25%.</w:t>
      </w:r>
    </w:p>
    <w:p w:rsidR="009B190C" w:rsidRPr="00B34EBC" w:rsidRDefault="009B190C" w:rsidP="00B30231">
      <w:pPr>
        <w:pStyle w:val="Tekstpodstawowy2"/>
        <w:widowControl/>
        <w:numPr>
          <w:ilvl w:val="0"/>
          <w:numId w:val="13"/>
        </w:numPr>
        <w:tabs>
          <w:tab w:val="clear" w:pos="360"/>
          <w:tab w:val="num" w:pos="-384"/>
        </w:tabs>
        <w:suppressAutoHyphens w:val="0"/>
        <w:spacing w:after="0" w:line="276" w:lineRule="auto"/>
        <w:jc w:val="both"/>
      </w:pPr>
      <w:r w:rsidRPr="00B34EBC">
        <w:t>W przypadku obniżenia łącznego wskaźnika kapitałowego poniżej poziomu 13,25</w:t>
      </w:r>
      <w:r w:rsidR="006A766B">
        <w:t>%, B</w:t>
      </w:r>
      <w:r w:rsidRPr="00B34EBC">
        <w:t>ank przeprowadza szczegółową analizę wymogów kapitałowych kształtujących poziom łącznego wskaźnika kapitałowego oraz podejmuje działania ograniczające poszczególne rodzaje ryzyka.</w:t>
      </w:r>
    </w:p>
    <w:p w:rsidR="009B190C" w:rsidRPr="00B34EBC" w:rsidRDefault="009B190C" w:rsidP="00B30231">
      <w:pPr>
        <w:pStyle w:val="Tekstpodstawowy2"/>
        <w:widowControl/>
        <w:numPr>
          <w:ilvl w:val="0"/>
          <w:numId w:val="13"/>
        </w:numPr>
        <w:tabs>
          <w:tab w:val="clear" w:pos="360"/>
          <w:tab w:val="num" w:pos="-384"/>
        </w:tabs>
        <w:suppressAutoHyphens w:val="0"/>
        <w:spacing w:after="0" w:line="276" w:lineRule="auto"/>
        <w:jc w:val="both"/>
      </w:pPr>
      <w:r w:rsidRPr="00B34EBC">
        <w:t xml:space="preserve">Bank jest zobowiązany do przeprowadzenia przeglądu i weryfikacji procesu szacowania </w:t>
      </w:r>
      <w:r w:rsidRPr="00B34EBC">
        <w:br/>
        <w:t>i utrzymania kapitału wewnętrznego nie rzadziej niż raz do roku, w celu zapewnienia, że proces ten jest kompleksowy i odpowiedni do charakteru, skali</w:t>
      </w:r>
      <w:r w:rsidR="006A766B">
        <w:t xml:space="preserve"> i złożoności działalności</w:t>
      </w:r>
      <w:r w:rsidRPr="00B34EBC">
        <w:t>.</w:t>
      </w:r>
    </w:p>
    <w:p w:rsidR="009B190C" w:rsidRPr="00B34EBC" w:rsidRDefault="009B190C" w:rsidP="00B30231">
      <w:pPr>
        <w:pStyle w:val="Tekstpodstawowy2"/>
        <w:widowControl/>
        <w:numPr>
          <w:ilvl w:val="0"/>
          <w:numId w:val="13"/>
        </w:numPr>
        <w:tabs>
          <w:tab w:val="clear" w:pos="360"/>
          <w:tab w:val="num" w:pos="-384"/>
        </w:tabs>
        <w:suppressAutoHyphens w:val="0"/>
        <w:spacing w:after="0" w:line="276" w:lineRule="auto"/>
        <w:jc w:val="both"/>
      </w:pPr>
      <w:r w:rsidRPr="00B34EBC">
        <w:t>Niezależnie od rocznych przeglądów, proces szacowania kapitału wewnętrznego jest odpowiednio dostosowywany w szczególności w sytuacji pojawienia się nowych rodzajów ryzyka, znaczących zmian w strategii i planach działania oraz środowisk</w:t>
      </w:r>
      <w:r w:rsidR="006A766B">
        <w:t>u zewnętrznym, w którym działa B</w:t>
      </w:r>
      <w:r w:rsidRPr="00B34EBC">
        <w:t>ank.</w:t>
      </w:r>
    </w:p>
    <w:p w:rsidR="009B190C" w:rsidRPr="00B34EBC" w:rsidRDefault="009B190C" w:rsidP="00B30231">
      <w:pPr>
        <w:pStyle w:val="Tekstpodstawowy2"/>
        <w:widowControl/>
        <w:numPr>
          <w:ilvl w:val="0"/>
          <w:numId w:val="13"/>
        </w:numPr>
        <w:tabs>
          <w:tab w:val="clear" w:pos="360"/>
          <w:tab w:val="num" w:pos="-384"/>
        </w:tabs>
        <w:suppressAutoHyphens w:val="0"/>
        <w:spacing w:after="0" w:line="276" w:lineRule="auto"/>
        <w:jc w:val="both"/>
      </w:pPr>
      <w:r w:rsidRPr="00B34EBC">
        <w:t>Bank dostosowuje strategię i politykę budowy funduszy własnych do wymagań pakietu CRD IV / CRR. Bank spełnia normy kapitałowe określone w pakiecie CRD IV / CRR .</w:t>
      </w:r>
    </w:p>
    <w:p w:rsidR="009B190C" w:rsidRPr="00B34EBC" w:rsidRDefault="009B190C" w:rsidP="00B30231">
      <w:pPr>
        <w:pStyle w:val="Tekstpodstawowy2"/>
        <w:widowControl/>
        <w:numPr>
          <w:ilvl w:val="0"/>
          <w:numId w:val="13"/>
        </w:numPr>
        <w:tabs>
          <w:tab w:val="clear" w:pos="360"/>
          <w:tab w:val="num" w:pos="-384"/>
        </w:tabs>
        <w:suppressAutoHyphens w:val="0"/>
        <w:spacing w:after="0" w:line="276" w:lineRule="auto"/>
        <w:jc w:val="both"/>
      </w:pPr>
      <w:r w:rsidRPr="00B34EBC">
        <w:t>W celu utrzymania wskaźników kapitałowych na wymaganym poziomie Bank podejmuje następujące działania:</w:t>
      </w:r>
    </w:p>
    <w:p w:rsidR="009B190C" w:rsidRPr="00B34EBC" w:rsidRDefault="009B190C" w:rsidP="00B30231">
      <w:pPr>
        <w:pStyle w:val="Tekstpodstawowy2"/>
        <w:widowControl/>
        <w:numPr>
          <w:ilvl w:val="1"/>
          <w:numId w:val="40"/>
        </w:numPr>
        <w:suppressAutoHyphens w:val="0"/>
        <w:spacing w:after="0" w:line="276" w:lineRule="auto"/>
        <w:jc w:val="both"/>
      </w:pPr>
      <w:r w:rsidRPr="00B34EBC">
        <w:t>Wzrost funduszu zasobowego z tytułu odpisu z zysku w kolejnych latach,</w:t>
      </w:r>
    </w:p>
    <w:p w:rsidR="009B190C" w:rsidRPr="00B34EBC" w:rsidRDefault="009B190C" w:rsidP="00B30231">
      <w:pPr>
        <w:pStyle w:val="Tekstpodstawowy2"/>
        <w:widowControl/>
        <w:numPr>
          <w:ilvl w:val="1"/>
          <w:numId w:val="40"/>
        </w:numPr>
        <w:suppressAutoHyphens w:val="0"/>
        <w:spacing w:after="0" w:line="276" w:lineRule="auto"/>
        <w:jc w:val="both"/>
      </w:pPr>
      <w:r w:rsidRPr="00B34EBC">
        <w:t>Analiza zasad tworzenia wymogów kapitałowych,</w:t>
      </w:r>
    </w:p>
    <w:p w:rsidR="009B190C" w:rsidRPr="00B34EBC" w:rsidRDefault="009B190C" w:rsidP="00B30231">
      <w:pPr>
        <w:pStyle w:val="Tekstpodstawowy2"/>
        <w:widowControl/>
        <w:numPr>
          <w:ilvl w:val="1"/>
          <w:numId w:val="40"/>
        </w:numPr>
        <w:suppressAutoHyphens w:val="0"/>
        <w:spacing w:after="0" w:line="276" w:lineRule="auto"/>
        <w:jc w:val="both"/>
      </w:pPr>
      <w:r w:rsidRPr="00B34EBC">
        <w:t>Zmiana struktury aktywów pod kątem wag ryzyka,</w:t>
      </w:r>
    </w:p>
    <w:p w:rsidR="009B190C" w:rsidRPr="00B34EBC" w:rsidRDefault="009B190C" w:rsidP="00B30231">
      <w:pPr>
        <w:pStyle w:val="Tekstpodstawowy2"/>
        <w:widowControl/>
        <w:numPr>
          <w:ilvl w:val="1"/>
          <w:numId w:val="40"/>
        </w:numPr>
        <w:suppressAutoHyphens w:val="0"/>
        <w:spacing w:after="0" w:line="276" w:lineRule="auto"/>
        <w:jc w:val="both"/>
      </w:pPr>
      <w:r w:rsidRPr="00B34EBC">
        <w:t>Zmiana struktury aktywów na bardziej dochodowe,</w:t>
      </w:r>
    </w:p>
    <w:p w:rsidR="009B190C" w:rsidRPr="00B34EBC" w:rsidRDefault="009B190C" w:rsidP="00B30231">
      <w:pPr>
        <w:pStyle w:val="Tekstpodstawowy2"/>
        <w:widowControl/>
        <w:numPr>
          <w:ilvl w:val="1"/>
          <w:numId w:val="40"/>
        </w:numPr>
        <w:suppressAutoHyphens w:val="0"/>
        <w:spacing w:after="0" w:line="276" w:lineRule="auto"/>
        <w:jc w:val="both"/>
      </w:pPr>
      <w:r w:rsidRPr="00B34EBC">
        <w:t>Sprzedaż części portfela kredytowego.</w:t>
      </w:r>
    </w:p>
    <w:p w:rsidR="009B190C" w:rsidRPr="00B34EBC" w:rsidRDefault="009B190C" w:rsidP="00B34EBC">
      <w:pPr>
        <w:pStyle w:val="Tekstpodstawowy2"/>
        <w:widowControl/>
        <w:suppressAutoHyphens w:val="0"/>
        <w:spacing w:after="0" w:line="276" w:lineRule="auto"/>
        <w:jc w:val="both"/>
      </w:pPr>
      <w:r w:rsidRPr="00B34EBC">
        <w:t>Ww. działania mają za zadanie osiągnięcie wskaźników kapitałowych zatwierdzonych przez Radę Nadzorczą.</w:t>
      </w:r>
    </w:p>
    <w:p w:rsidR="009B190C" w:rsidRPr="00B34EBC" w:rsidRDefault="009B190C" w:rsidP="00B34EBC">
      <w:pPr>
        <w:rPr>
          <w:rFonts w:ascii="Times New Roman" w:hAnsi="Times New Roman"/>
          <w:b/>
          <w:bCs/>
          <w:sz w:val="24"/>
          <w:szCs w:val="24"/>
        </w:rPr>
      </w:pPr>
      <w:r w:rsidRPr="00B34EBC">
        <w:rPr>
          <w:rFonts w:ascii="Times New Roman" w:hAnsi="Times New Roman"/>
          <w:b/>
          <w:bCs/>
          <w:sz w:val="24"/>
          <w:szCs w:val="24"/>
        </w:rPr>
        <w:lastRenderedPageBreak/>
        <w:t>Budowa funduszy własnych:</w:t>
      </w:r>
    </w:p>
    <w:p w:rsidR="009B190C" w:rsidRPr="00B30231" w:rsidRDefault="009B190C" w:rsidP="00B30231">
      <w:pPr>
        <w:pStyle w:val="Akapitzlist"/>
        <w:widowControl w:val="0"/>
        <w:numPr>
          <w:ilvl w:val="0"/>
          <w:numId w:val="41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0231">
        <w:rPr>
          <w:rFonts w:ascii="Times New Roman" w:hAnsi="Times New Roman"/>
          <w:bCs/>
          <w:sz w:val="24"/>
          <w:szCs w:val="24"/>
        </w:rPr>
        <w:t xml:space="preserve">Podstawowym źródłem budowy funduszy własnych jest wynik finansowy. </w:t>
      </w:r>
    </w:p>
    <w:p w:rsidR="009B190C" w:rsidRPr="0023228E" w:rsidRDefault="009B190C" w:rsidP="00B30231">
      <w:pPr>
        <w:pStyle w:val="Akapitzlist"/>
        <w:widowControl w:val="0"/>
        <w:numPr>
          <w:ilvl w:val="0"/>
          <w:numId w:val="41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0231">
        <w:rPr>
          <w:rFonts w:ascii="Times New Roman" w:hAnsi="Times New Roman"/>
          <w:bCs/>
          <w:sz w:val="24"/>
          <w:szCs w:val="24"/>
        </w:rPr>
        <w:t>Wieloletni plan budowy funduszy własnych (cele kapitałowe, oczekiwana wielkość kapitałów, polityka dywidendowa) Bank ujmuje w zatwierdzanej przez Radę Nadzorczą Strategii działania, natomiast szczegółowe zamierzenia w tym zakresie ujęte są w Polityce kapitałowej</w:t>
      </w:r>
      <w:r w:rsidRPr="0023228E">
        <w:rPr>
          <w:rFonts w:ascii="Times New Roman" w:hAnsi="Times New Roman"/>
          <w:bCs/>
          <w:sz w:val="24"/>
          <w:szCs w:val="24"/>
        </w:rPr>
        <w:t>, stanowiącej założenia do planu ekonomiczno-finansowego.</w:t>
      </w:r>
    </w:p>
    <w:p w:rsidR="009B190C" w:rsidRPr="00B30231" w:rsidRDefault="009B190C" w:rsidP="00B30231">
      <w:pPr>
        <w:pStyle w:val="Akapitzlist"/>
        <w:widowControl w:val="0"/>
        <w:numPr>
          <w:ilvl w:val="0"/>
          <w:numId w:val="41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0231">
        <w:rPr>
          <w:rFonts w:ascii="Times New Roman" w:hAnsi="Times New Roman"/>
          <w:bCs/>
          <w:sz w:val="24"/>
          <w:szCs w:val="24"/>
        </w:rPr>
        <w:t>Bank analizuje wpływ wystąpienia warunków skrajnych (spadek funduszy, wzrost wymogów kapitałowych) na wskaźnik kapitałowy i na podstawie tych analiz opracowuje i weryfikuje plany awaryjne w zakresie adekwatności kapitałowej.</w:t>
      </w:r>
    </w:p>
    <w:p w:rsidR="009B190C" w:rsidRPr="00B30231" w:rsidRDefault="009B190C" w:rsidP="00B30231">
      <w:pPr>
        <w:pStyle w:val="Akapitzlist"/>
        <w:widowControl w:val="0"/>
        <w:numPr>
          <w:ilvl w:val="0"/>
          <w:numId w:val="41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0231">
        <w:rPr>
          <w:rFonts w:ascii="Times New Roman" w:hAnsi="Times New Roman"/>
          <w:bCs/>
          <w:sz w:val="24"/>
          <w:szCs w:val="24"/>
        </w:rPr>
        <w:t xml:space="preserve">Bank wykorzystuje testy warunków skrajnych do określania buforu kapitału w postaci nadwyżki ponad wymagalny  minimalny wskaźnik kapitałowy oraz w postaci określonych w Polityce kapitałowej planów awaryjnych zwiększenia funduszy własnych. </w:t>
      </w:r>
    </w:p>
    <w:p w:rsidR="009B190C" w:rsidRPr="00B34EBC" w:rsidRDefault="009B190C" w:rsidP="00B30231">
      <w:pPr>
        <w:pStyle w:val="Default"/>
        <w:numPr>
          <w:ilvl w:val="0"/>
          <w:numId w:val="41"/>
        </w:numPr>
        <w:spacing w:line="276" w:lineRule="auto"/>
        <w:rPr>
          <w:color w:val="auto"/>
        </w:rPr>
      </w:pPr>
      <w:r w:rsidRPr="00B34EBC">
        <w:rPr>
          <w:color w:val="auto"/>
        </w:rPr>
        <w:t xml:space="preserve">Bank w rocznych planach finansowych oraz w planach perspektywicznych uwzględnia gospodarkę funduszami własnymi, mającą na celu optymalizację wzrostu posiadanych przez Bank funduszy własnych. </w:t>
      </w:r>
    </w:p>
    <w:p w:rsidR="009B190C" w:rsidRPr="00B34EBC" w:rsidRDefault="009B190C" w:rsidP="00B30231">
      <w:pPr>
        <w:pStyle w:val="Default"/>
        <w:numPr>
          <w:ilvl w:val="0"/>
          <w:numId w:val="41"/>
        </w:numPr>
        <w:spacing w:line="276" w:lineRule="auto"/>
        <w:rPr>
          <w:color w:val="auto"/>
        </w:rPr>
      </w:pPr>
      <w:r w:rsidRPr="00B34EBC">
        <w:rPr>
          <w:color w:val="auto"/>
        </w:rPr>
        <w:t xml:space="preserve">Strategia kształtowania funduszy własnych podlega analizie pod względem jej dostosowania do aktualnej sytuacji Banku po zakończeniu każdego roku kalendarzowego. </w:t>
      </w:r>
    </w:p>
    <w:p w:rsidR="009B190C" w:rsidRPr="00B30231" w:rsidRDefault="009B190C" w:rsidP="00B30231">
      <w:pPr>
        <w:pStyle w:val="Akapitzlist"/>
        <w:widowControl w:val="0"/>
        <w:numPr>
          <w:ilvl w:val="0"/>
          <w:numId w:val="41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0231">
        <w:rPr>
          <w:rFonts w:ascii="Times New Roman" w:hAnsi="Times New Roman"/>
          <w:bCs/>
          <w:sz w:val="24"/>
          <w:szCs w:val="24"/>
        </w:rPr>
        <w:t xml:space="preserve">Wieloletni plan funduszy własnych zawarty jest w Strategii działania Banku. 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41"/>
        </w:numPr>
        <w:suppressAutoHyphens w:val="0"/>
        <w:spacing w:after="0" w:line="276" w:lineRule="auto"/>
        <w:jc w:val="both"/>
      </w:pPr>
      <w:r w:rsidRPr="00B34EBC">
        <w:t xml:space="preserve">Bank dąży do kształtowania zaangażowania kapitałowego w instytucjach finansowych </w:t>
      </w:r>
      <w:r w:rsidRPr="00B34EBC">
        <w:br/>
        <w:t>i bankach w taki sposób, aby umniejszenie funduszy własnych banku z tego tytułu nie stanowiło zagrożenia dla bieżącej i przyszłej adekwatności kapitałowej banku.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41"/>
        </w:numPr>
        <w:suppressAutoHyphens w:val="0"/>
        <w:spacing w:after="0" w:line="276" w:lineRule="auto"/>
        <w:jc w:val="both"/>
      </w:pPr>
      <w:r w:rsidRPr="00B34EBC">
        <w:t>W celu ograniczenia zagrożeń, o których mowa w ust. 4, w banku ustalane są odpowiednie limity dotyczące inwestycji kapitałowych w podmiotach finansowych.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41"/>
        </w:numPr>
        <w:suppressAutoHyphens w:val="0"/>
        <w:spacing w:after="0" w:line="276" w:lineRule="auto"/>
        <w:jc w:val="both"/>
      </w:pPr>
      <w:r w:rsidRPr="00B34EBC">
        <w:t>Bank w planach finansowych uwzględnia gospodarkę funduszami własnymi banku, mającą na celu optymalizację wzrostu posiadanych przez bank funduszy własnych banku, które winny być dostosowane do profilu ryzyka występującego realnie w banku, z uwzględnieniem specyficznego charakteru jego działania oraz wyliczeń dotyczących dodatkowych wymogów kapitałowych.</w:t>
      </w:r>
    </w:p>
    <w:p w:rsidR="009B190C" w:rsidRPr="00B34EBC" w:rsidRDefault="00AE2D0B" w:rsidP="00B34EB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B190C" w:rsidRPr="00B34EBC">
        <w:rPr>
          <w:rFonts w:ascii="Times New Roman" w:hAnsi="Times New Roman"/>
          <w:b/>
          <w:bCs/>
          <w:sz w:val="24"/>
          <w:szCs w:val="24"/>
        </w:rPr>
        <w:t>Wymogi kapitałowe:</w:t>
      </w:r>
    </w:p>
    <w:p w:rsidR="009B190C" w:rsidRPr="00B34EBC" w:rsidRDefault="009B190C" w:rsidP="00CD64B4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Bank tworzy minimalne wymogi kapitałowe na ryzyka ujęte w Rozporządzeniu UE.</w:t>
      </w:r>
    </w:p>
    <w:p w:rsidR="00CD64B4" w:rsidRDefault="009B190C" w:rsidP="00CD64B4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 xml:space="preserve">Bank analizuje inne istotne rodzaje ryzyka, na które tworzy dodatkowe wymogi </w:t>
      </w:r>
      <w:r w:rsidR="00CD64B4">
        <w:rPr>
          <w:rFonts w:ascii="Times New Roman" w:hAnsi="Times New Roman"/>
          <w:bCs/>
          <w:sz w:val="24"/>
          <w:szCs w:val="24"/>
        </w:rPr>
        <w:t xml:space="preserve"> </w:t>
      </w:r>
    </w:p>
    <w:p w:rsidR="009B190C" w:rsidRPr="00B34EBC" w:rsidRDefault="00CD64B4" w:rsidP="00CD64B4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>kapitałowe</w:t>
      </w:r>
      <w:r w:rsidR="00857419" w:rsidRPr="00B34EBC">
        <w:rPr>
          <w:rFonts w:ascii="Times New Roman" w:hAnsi="Times New Roman"/>
          <w:bCs/>
          <w:sz w:val="24"/>
          <w:szCs w:val="24"/>
        </w:rPr>
        <w:t>.</w:t>
      </w:r>
    </w:p>
    <w:p w:rsidR="00CD64B4" w:rsidRDefault="009B190C" w:rsidP="00CD64B4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 xml:space="preserve">W </w:t>
      </w:r>
      <w:r w:rsidR="00857419" w:rsidRPr="00B34EBC">
        <w:rPr>
          <w:rFonts w:ascii="Times New Roman" w:hAnsi="Times New Roman"/>
          <w:bCs/>
          <w:sz w:val="24"/>
          <w:szCs w:val="24"/>
        </w:rPr>
        <w:t>ramach</w:t>
      </w:r>
      <w:r w:rsidRPr="00B34EBC">
        <w:rPr>
          <w:rFonts w:ascii="Times New Roman" w:hAnsi="Times New Roman"/>
          <w:bCs/>
          <w:sz w:val="24"/>
          <w:szCs w:val="24"/>
        </w:rPr>
        <w:t xml:space="preserve"> kapitałowej określ</w:t>
      </w:r>
      <w:r w:rsidR="00857419" w:rsidRPr="00B34EBC">
        <w:rPr>
          <w:rFonts w:ascii="Times New Roman" w:hAnsi="Times New Roman"/>
          <w:bCs/>
          <w:sz w:val="24"/>
          <w:szCs w:val="24"/>
        </w:rPr>
        <w:t>one są</w:t>
      </w:r>
      <w:r w:rsidRPr="00B34EBC">
        <w:rPr>
          <w:rFonts w:ascii="Times New Roman" w:hAnsi="Times New Roman"/>
          <w:bCs/>
          <w:sz w:val="24"/>
          <w:szCs w:val="24"/>
        </w:rPr>
        <w:t xml:space="preserve"> limity alokacji kapitału z tytułu poszczególnych </w:t>
      </w:r>
    </w:p>
    <w:p w:rsidR="00CD64B4" w:rsidRDefault="00CD64B4" w:rsidP="00CD64B4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 xml:space="preserve">rodzajów ryzyka, dostosowane do skali, złożoności i poziomu ryzyka występującego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B190C" w:rsidRPr="00B34EBC" w:rsidRDefault="00CD64B4" w:rsidP="00CD64B4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>w Banku.</w:t>
      </w:r>
    </w:p>
    <w:p w:rsidR="00CD64B4" w:rsidRDefault="009B190C" w:rsidP="00CD64B4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 xml:space="preserve">Analizie poddaje się przestrzeganie ww. limitów, a każde przekroczenie jest </w:t>
      </w:r>
      <w:r w:rsidR="00CD64B4">
        <w:rPr>
          <w:rFonts w:ascii="Times New Roman" w:hAnsi="Times New Roman"/>
          <w:bCs/>
          <w:sz w:val="24"/>
          <w:szCs w:val="24"/>
        </w:rPr>
        <w:t xml:space="preserve"> </w:t>
      </w:r>
    </w:p>
    <w:p w:rsidR="00CD64B4" w:rsidRDefault="00CD64B4" w:rsidP="00CD64B4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>sygnalizowane</w:t>
      </w:r>
      <w:r w:rsidR="00857419" w:rsidRPr="00B34EBC">
        <w:rPr>
          <w:rFonts w:ascii="Times New Roman" w:hAnsi="Times New Roman"/>
          <w:bCs/>
          <w:sz w:val="24"/>
          <w:szCs w:val="24"/>
        </w:rPr>
        <w:t xml:space="preserve"> Zarządowi i</w:t>
      </w:r>
      <w:r w:rsidR="009B190C" w:rsidRPr="00B34EBC">
        <w:rPr>
          <w:rFonts w:ascii="Times New Roman" w:hAnsi="Times New Roman"/>
          <w:bCs/>
          <w:sz w:val="24"/>
          <w:szCs w:val="24"/>
        </w:rPr>
        <w:t xml:space="preserve"> Radzie Nadzorczej wraz z informacjami na temat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B190C" w:rsidRPr="00B34EBC" w:rsidRDefault="00CD64B4" w:rsidP="00CD64B4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>podjętych działań w celu uniknięcia takiej sytuacji w przyszłości.</w:t>
      </w:r>
    </w:p>
    <w:p w:rsidR="00CD64B4" w:rsidRDefault="009B190C" w:rsidP="00B30231">
      <w:pPr>
        <w:widowControl w:val="0"/>
        <w:numPr>
          <w:ilvl w:val="0"/>
          <w:numId w:val="11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lastRenderedPageBreak/>
        <w:t xml:space="preserve">Bank dokonuje okresowego przeglądu procesu szacowania wymogów wewnętrznych. </w:t>
      </w:r>
      <w:r w:rsidR="00CD64B4">
        <w:rPr>
          <w:rFonts w:ascii="Times New Roman" w:hAnsi="Times New Roman"/>
          <w:bCs/>
          <w:sz w:val="24"/>
          <w:szCs w:val="24"/>
        </w:rPr>
        <w:t xml:space="preserve"> </w:t>
      </w:r>
    </w:p>
    <w:p w:rsidR="009B190C" w:rsidRPr="00B34EBC" w:rsidRDefault="00CD64B4" w:rsidP="00CD64B4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>Wyniki przeglądu są prezentowane</w:t>
      </w:r>
      <w:r w:rsidR="00857419" w:rsidRPr="00B34EBC">
        <w:rPr>
          <w:rFonts w:ascii="Times New Roman" w:hAnsi="Times New Roman"/>
          <w:bCs/>
          <w:sz w:val="24"/>
          <w:szCs w:val="24"/>
        </w:rPr>
        <w:t xml:space="preserve"> Zarządowi i</w:t>
      </w:r>
      <w:r w:rsidR="009B190C" w:rsidRPr="00B34EBC">
        <w:rPr>
          <w:rFonts w:ascii="Times New Roman" w:hAnsi="Times New Roman"/>
          <w:bCs/>
          <w:sz w:val="24"/>
          <w:szCs w:val="24"/>
        </w:rPr>
        <w:t xml:space="preserve"> Radzie Nadzorczej</w:t>
      </w:r>
      <w:r w:rsidR="00857419" w:rsidRPr="00B34EBC">
        <w:rPr>
          <w:rFonts w:ascii="Times New Roman" w:hAnsi="Times New Roman"/>
          <w:bCs/>
          <w:sz w:val="24"/>
          <w:szCs w:val="24"/>
        </w:rPr>
        <w:t xml:space="preserve">. </w:t>
      </w:r>
      <w:r w:rsidR="009B190C" w:rsidRPr="00B34EBC">
        <w:rPr>
          <w:rFonts w:ascii="Times New Roman" w:hAnsi="Times New Roman"/>
          <w:bCs/>
          <w:sz w:val="24"/>
          <w:szCs w:val="24"/>
        </w:rPr>
        <w:t xml:space="preserve">  </w:t>
      </w:r>
    </w:p>
    <w:p w:rsidR="00CD64B4" w:rsidRDefault="009B190C" w:rsidP="00B30231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B34EBC">
        <w:rPr>
          <w:color w:val="auto"/>
        </w:rPr>
        <w:t xml:space="preserve">Bank dąży do kształtowania jednostkowego zaangażowania kapitałowego w </w:t>
      </w:r>
      <w:r w:rsidR="00CD64B4">
        <w:rPr>
          <w:color w:val="auto"/>
        </w:rPr>
        <w:t xml:space="preserve"> </w:t>
      </w:r>
    </w:p>
    <w:p w:rsidR="00CD64B4" w:rsidRDefault="00CD64B4" w:rsidP="00CD64B4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</w:t>
      </w:r>
      <w:r w:rsidR="009B190C" w:rsidRPr="00B34EBC">
        <w:rPr>
          <w:color w:val="auto"/>
        </w:rPr>
        <w:t xml:space="preserve">instytucjach finansowych i bankach (akcje i udziały, zobowiązania podporządkowane, </w:t>
      </w:r>
      <w:r>
        <w:rPr>
          <w:color w:val="auto"/>
        </w:rPr>
        <w:t xml:space="preserve"> </w:t>
      </w:r>
    </w:p>
    <w:p w:rsidR="00CD64B4" w:rsidRDefault="00CD64B4" w:rsidP="00CD64B4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</w:t>
      </w:r>
      <w:r w:rsidR="009B190C" w:rsidRPr="00B34EBC">
        <w:rPr>
          <w:color w:val="auto"/>
        </w:rPr>
        <w:t xml:space="preserve">dopłaty na rzecz spółek prawa handlowego) tak, aby nie stanowiło ono </w:t>
      </w:r>
      <w:r w:rsidR="00857419" w:rsidRPr="00B34EBC">
        <w:rPr>
          <w:color w:val="auto"/>
        </w:rPr>
        <w:t>p</w:t>
      </w:r>
      <w:r w:rsidR="009B190C" w:rsidRPr="00B34EBC">
        <w:rPr>
          <w:color w:val="auto"/>
        </w:rPr>
        <w:t>rzekroczeni</w:t>
      </w:r>
      <w:r w:rsidR="00857419" w:rsidRPr="00B34EBC">
        <w:rPr>
          <w:color w:val="auto"/>
        </w:rPr>
        <w:t>a</w:t>
      </w:r>
      <w:r w:rsidR="009B190C" w:rsidRPr="00B34EBC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9B190C" w:rsidRPr="00B34EBC" w:rsidRDefault="00CD64B4" w:rsidP="00CD64B4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</w:t>
      </w:r>
      <w:r w:rsidR="009B190C" w:rsidRPr="00B34EBC">
        <w:rPr>
          <w:color w:val="auto"/>
        </w:rPr>
        <w:t xml:space="preserve">limitów, o których mowa w </w:t>
      </w:r>
      <w:r w:rsidR="00857419" w:rsidRPr="00B34EBC">
        <w:rPr>
          <w:color w:val="auto"/>
        </w:rPr>
        <w:t>Rozporządzeniu 575/2013 UE.</w:t>
      </w:r>
      <w:r w:rsidR="009B190C" w:rsidRPr="00B34EBC">
        <w:rPr>
          <w:color w:val="auto"/>
        </w:rPr>
        <w:t xml:space="preserve"> </w:t>
      </w:r>
    </w:p>
    <w:p w:rsidR="00CD64B4" w:rsidRDefault="009B190C" w:rsidP="00B30231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B34EBC">
        <w:rPr>
          <w:color w:val="auto"/>
        </w:rPr>
        <w:t xml:space="preserve">Ustalane przez Bank plany w zakresie kapitału wewnętrznego oraz poziomu </w:t>
      </w:r>
      <w:r w:rsidR="00CD64B4">
        <w:rPr>
          <w:color w:val="auto"/>
        </w:rPr>
        <w:t xml:space="preserve"> </w:t>
      </w:r>
    </w:p>
    <w:p w:rsidR="00CD64B4" w:rsidRDefault="00CD64B4" w:rsidP="00CD64B4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</w:t>
      </w:r>
      <w:r w:rsidR="009B190C" w:rsidRPr="00B34EBC">
        <w:rPr>
          <w:color w:val="auto"/>
        </w:rPr>
        <w:t xml:space="preserve">wyznaczanego wewnętrznego wymogu kapitałowego </w:t>
      </w:r>
      <w:r w:rsidR="00857419" w:rsidRPr="00B34EBC">
        <w:rPr>
          <w:color w:val="auto"/>
        </w:rPr>
        <w:t>są</w:t>
      </w:r>
      <w:r w:rsidR="009B190C" w:rsidRPr="00B34EBC">
        <w:rPr>
          <w:color w:val="auto"/>
        </w:rPr>
        <w:t xml:space="preserve"> dostosowane do profilu </w:t>
      </w:r>
      <w:r>
        <w:rPr>
          <w:color w:val="auto"/>
        </w:rPr>
        <w:t xml:space="preserve"> </w:t>
      </w:r>
    </w:p>
    <w:p w:rsidR="00CD64B4" w:rsidRDefault="00CD64B4" w:rsidP="00CD64B4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</w:t>
      </w:r>
      <w:r w:rsidR="009B190C" w:rsidRPr="00B34EBC">
        <w:rPr>
          <w:color w:val="auto"/>
        </w:rPr>
        <w:t xml:space="preserve">ryzyka występującego realnie w Banku, z uwzględnieniem specyficznego charakteru </w:t>
      </w:r>
      <w:r>
        <w:rPr>
          <w:color w:val="auto"/>
        </w:rPr>
        <w:t xml:space="preserve"> </w:t>
      </w:r>
    </w:p>
    <w:p w:rsidR="009B190C" w:rsidRPr="00B34EBC" w:rsidRDefault="00CD64B4" w:rsidP="00CD64B4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</w:t>
      </w:r>
      <w:r w:rsidR="009B190C" w:rsidRPr="00B34EBC">
        <w:rPr>
          <w:color w:val="auto"/>
        </w:rPr>
        <w:t xml:space="preserve">jego działania. </w:t>
      </w:r>
    </w:p>
    <w:p w:rsidR="009B190C" w:rsidRPr="00B34EBC" w:rsidRDefault="009B190C" w:rsidP="00B34EBC">
      <w:pPr>
        <w:rPr>
          <w:rFonts w:ascii="Times New Roman" w:hAnsi="Times New Roman"/>
          <w:bCs/>
          <w:sz w:val="24"/>
          <w:szCs w:val="24"/>
        </w:rPr>
      </w:pPr>
    </w:p>
    <w:p w:rsidR="009B190C" w:rsidRPr="00B34EBC" w:rsidRDefault="009B190C" w:rsidP="00B34EBC">
      <w:pPr>
        <w:rPr>
          <w:rFonts w:ascii="Times New Roman" w:hAnsi="Times New Roman"/>
          <w:b/>
          <w:bCs/>
          <w:sz w:val="24"/>
          <w:szCs w:val="24"/>
        </w:rPr>
      </w:pPr>
      <w:r w:rsidRPr="00B34EBC">
        <w:rPr>
          <w:rFonts w:ascii="Times New Roman" w:hAnsi="Times New Roman"/>
          <w:b/>
          <w:bCs/>
          <w:sz w:val="24"/>
          <w:szCs w:val="24"/>
        </w:rPr>
        <w:t>Zarządzanie ryzykami:</w:t>
      </w:r>
    </w:p>
    <w:p w:rsidR="009C65FD" w:rsidRDefault="009B190C" w:rsidP="00B30231">
      <w:pPr>
        <w:widowControl w:val="0"/>
        <w:numPr>
          <w:ilvl w:val="0"/>
          <w:numId w:val="8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 xml:space="preserve">Bank podejmuje ryzyko na poziomie zapewniającym utrzymanie łącznego wskaźnika </w:t>
      </w:r>
      <w:r w:rsidR="009C65FD">
        <w:rPr>
          <w:rFonts w:ascii="Times New Roman" w:hAnsi="Times New Roman"/>
          <w:bCs/>
          <w:sz w:val="24"/>
          <w:szCs w:val="24"/>
        </w:rPr>
        <w:t xml:space="preserve"> </w:t>
      </w:r>
    </w:p>
    <w:p w:rsidR="009C65FD" w:rsidRDefault="009C65FD" w:rsidP="009C65FD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 xml:space="preserve">kapitałowego (TCR) na poziomie nie niższym niż 13,25%, dążenie do poziomu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65FD" w:rsidRDefault="009C65FD" w:rsidP="009C65FD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 xml:space="preserve">13,25%, zgodnie ze wskazaniem KNF oraz pozostałych współczynników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B190C" w:rsidRPr="00B34EBC" w:rsidRDefault="009C65FD" w:rsidP="009C65FD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>kapitałowych na poziomie:</w:t>
      </w:r>
      <w:r w:rsidR="009B190C" w:rsidRPr="00B34EBC">
        <w:rPr>
          <w:rFonts w:ascii="Times New Roman" w:hAnsi="Times New Roman"/>
          <w:sz w:val="24"/>
          <w:szCs w:val="24"/>
        </w:rPr>
        <w:t xml:space="preserve"> kapitału </w:t>
      </w:r>
      <w:proofErr w:type="spellStart"/>
      <w:r w:rsidR="009B190C" w:rsidRPr="00B34EBC">
        <w:rPr>
          <w:rFonts w:ascii="Times New Roman" w:hAnsi="Times New Roman"/>
          <w:sz w:val="24"/>
          <w:szCs w:val="24"/>
        </w:rPr>
        <w:t>Tier</w:t>
      </w:r>
      <w:proofErr w:type="spellEnd"/>
      <w:r w:rsidR="009B190C" w:rsidRPr="00B34EBC">
        <w:rPr>
          <w:rFonts w:ascii="Times New Roman" w:hAnsi="Times New Roman"/>
          <w:sz w:val="24"/>
          <w:szCs w:val="24"/>
        </w:rPr>
        <w:t xml:space="preserve"> I wynosi 10,25%, </w:t>
      </w:r>
    </w:p>
    <w:p w:rsidR="009C65FD" w:rsidRDefault="009B190C" w:rsidP="00B30231">
      <w:pPr>
        <w:widowControl w:val="0"/>
        <w:numPr>
          <w:ilvl w:val="0"/>
          <w:numId w:val="8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W cyklach co najmniej rocznych Bank dokonuje weryf</w:t>
      </w:r>
      <w:r w:rsidR="00857419" w:rsidRPr="00B34EBC">
        <w:rPr>
          <w:rFonts w:ascii="Times New Roman" w:hAnsi="Times New Roman"/>
          <w:bCs/>
          <w:sz w:val="24"/>
          <w:szCs w:val="24"/>
        </w:rPr>
        <w:t xml:space="preserve">ikacji istotności ryzyk, </w:t>
      </w:r>
      <w:r w:rsidR="009C65FD">
        <w:rPr>
          <w:rFonts w:ascii="Times New Roman" w:hAnsi="Times New Roman"/>
          <w:bCs/>
          <w:sz w:val="24"/>
          <w:szCs w:val="24"/>
        </w:rPr>
        <w:t xml:space="preserve"> </w:t>
      </w:r>
    </w:p>
    <w:p w:rsidR="009B190C" w:rsidRPr="00B34EBC" w:rsidRDefault="009C65FD" w:rsidP="009C65FD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857419" w:rsidRPr="00B34EBC">
        <w:rPr>
          <w:rFonts w:ascii="Times New Roman" w:hAnsi="Times New Roman"/>
          <w:bCs/>
          <w:sz w:val="24"/>
          <w:szCs w:val="24"/>
        </w:rPr>
        <w:t>uwzględnia</w:t>
      </w:r>
      <w:r w:rsidR="009B190C" w:rsidRPr="00B34EBC">
        <w:rPr>
          <w:rFonts w:ascii="Times New Roman" w:hAnsi="Times New Roman"/>
          <w:bCs/>
          <w:sz w:val="24"/>
          <w:szCs w:val="24"/>
        </w:rPr>
        <w:t>jąc kryteria ilościowe i jakościowe.</w:t>
      </w:r>
    </w:p>
    <w:p w:rsidR="009C65FD" w:rsidRDefault="009B190C" w:rsidP="00B30231">
      <w:pPr>
        <w:widowControl w:val="0"/>
        <w:numPr>
          <w:ilvl w:val="0"/>
          <w:numId w:val="8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 xml:space="preserve">Bank tworzy procedury zarządzania ryzykami istotnymi w Banku, zatwierdzane przez </w:t>
      </w:r>
      <w:r w:rsidR="009C65FD">
        <w:rPr>
          <w:rFonts w:ascii="Times New Roman" w:hAnsi="Times New Roman"/>
          <w:bCs/>
          <w:sz w:val="24"/>
          <w:szCs w:val="24"/>
        </w:rPr>
        <w:t xml:space="preserve"> </w:t>
      </w:r>
    </w:p>
    <w:p w:rsidR="009B190C" w:rsidRPr="00B34EBC" w:rsidRDefault="009C65FD" w:rsidP="009C65FD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>Zarząd Banku.</w:t>
      </w:r>
    </w:p>
    <w:p w:rsidR="009C65FD" w:rsidRDefault="009B190C" w:rsidP="00B30231">
      <w:pPr>
        <w:widowControl w:val="0"/>
        <w:numPr>
          <w:ilvl w:val="0"/>
          <w:numId w:val="8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 xml:space="preserve">Procedury zawierają zapisy dotyczące przekształcania miar ryzyka na wymogi </w:t>
      </w:r>
      <w:r w:rsidR="009C65FD">
        <w:rPr>
          <w:rFonts w:ascii="Times New Roman" w:hAnsi="Times New Roman"/>
          <w:bCs/>
          <w:sz w:val="24"/>
          <w:szCs w:val="24"/>
        </w:rPr>
        <w:t xml:space="preserve"> </w:t>
      </w:r>
    </w:p>
    <w:p w:rsidR="009B190C" w:rsidRPr="00B34EBC" w:rsidRDefault="009C65FD" w:rsidP="009C65FD">
      <w:pPr>
        <w:widowControl w:val="0"/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B190C" w:rsidRPr="00B34EBC">
        <w:rPr>
          <w:rFonts w:ascii="Times New Roman" w:hAnsi="Times New Roman"/>
          <w:bCs/>
          <w:sz w:val="24"/>
          <w:szCs w:val="24"/>
        </w:rPr>
        <w:t>kapitałowe.</w:t>
      </w:r>
    </w:p>
    <w:p w:rsidR="009B190C" w:rsidRPr="00B34EBC" w:rsidRDefault="009B190C" w:rsidP="00B30231">
      <w:pPr>
        <w:widowControl w:val="0"/>
        <w:numPr>
          <w:ilvl w:val="0"/>
          <w:numId w:val="8"/>
        </w:num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B34EBC">
        <w:rPr>
          <w:rFonts w:ascii="Times New Roman" w:hAnsi="Times New Roman"/>
          <w:bCs/>
          <w:sz w:val="24"/>
          <w:szCs w:val="24"/>
        </w:rPr>
        <w:t>Bank podejmuje ryzyko odpowiednio do posiadanych funduszy własnych.</w:t>
      </w:r>
    </w:p>
    <w:p w:rsidR="009B190C" w:rsidRPr="00B34EBC" w:rsidRDefault="009B190C" w:rsidP="00B34EBC">
      <w:pPr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</w:p>
    <w:p w:rsidR="009B190C" w:rsidRPr="00B34EBC" w:rsidRDefault="009B190C" w:rsidP="00B34EBC">
      <w:pPr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  <w:r w:rsidRPr="00B34EBC">
        <w:rPr>
          <w:rFonts w:ascii="Times New Roman" w:hAnsi="Times New Roman"/>
          <w:b/>
          <w:bCs/>
          <w:sz w:val="24"/>
          <w:szCs w:val="24"/>
        </w:rPr>
        <w:t>Długofalowe cele kapitałowe: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7"/>
        </w:numPr>
        <w:suppressAutoHyphens w:val="0"/>
        <w:spacing w:after="0" w:line="276" w:lineRule="auto"/>
        <w:ind w:left="360"/>
        <w:jc w:val="both"/>
      </w:pPr>
      <w:r w:rsidRPr="00B34EBC">
        <w:t>Realizacja celów kapitałowych odbywa się poprzez podejmowanie decyzji kapitałowych z zakresu struktury finansowania, podziału zysku oraz polityki dywidendowej.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7"/>
        </w:numPr>
        <w:suppressAutoHyphens w:val="0"/>
        <w:spacing w:after="0" w:line="276" w:lineRule="auto"/>
        <w:ind w:left="360"/>
        <w:jc w:val="both"/>
      </w:pPr>
      <w:r w:rsidRPr="00B34EBC">
        <w:t>Bank przyjmuje następujące długoterminowe cele kapitałowe: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6"/>
        </w:numPr>
        <w:tabs>
          <w:tab w:val="clear" w:pos="1068"/>
          <w:tab w:val="num" w:pos="-384"/>
        </w:tabs>
        <w:suppressAutoHyphens w:val="0"/>
        <w:spacing w:after="0" w:line="276" w:lineRule="auto"/>
        <w:ind w:left="708"/>
        <w:jc w:val="both"/>
      </w:pPr>
      <w:r w:rsidRPr="00B34EBC">
        <w:t>dąży do posiadania funduszy własnych banku zapewniających utrzymanie łącznego wskaźnika kapitałowego (TCR) na poziomie co najmniej 13,25%;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6"/>
        </w:numPr>
        <w:tabs>
          <w:tab w:val="clear" w:pos="1068"/>
          <w:tab w:val="num" w:pos="-24"/>
        </w:tabs>
        <w:suppressAutoHyphens w:val="0"/>
        <w:spacing w:after="0" w:line="276" w:lineRule="auto"/>
        <w:ind w:left="708"/>
        <w:jc w:val="both"/>
      </w:pPr>
      <w:r w:rsidRPr="00B34EBC">
        <w:t>dąży do uzyskania następującej struktury funduszy podstawowych:</w:t>
      </w:r>
    </w:p>
    <w:p w:rsidR="009B190C" w:rsidRPr="00B34EBC" w:rsidRDefault="00A903AB" w:rsidP="00B30231">
      <w:pPr>
        <w:pStyle w:val="Tekstpodstawowy"/>
        <w:widowControl/>
        <w:numPr>
          <w:ilvl w:val="0"/>
          <w:numId w:val="14"/>
        </w:numPr>
        <w:tabs>
          <w:tab w:val="clear" w:pos="720"/>
          <w:tab w:val="num" w:pos="684"/>
        </w:tabs>
        <w:suppressAutoHyphens w:val="0"/>
        <w:spacing w:after="0" w:line="276" w:lineRule="auto"/>
        <w:ind w:left="1068"/>
        <w:jc w:val="both"/>
      </w:pPr>
      <w:r>
        <w:t xml:space="preserve">fundusz udziałowy: maksimum </w:t>
      </w:r>
      <w:r w:rsidRPr="00A903AB">
        <w:rPr>
          <w:color w:val="C00000"/>
        </w:rPr>
        <w:t>1</w:t>
      </w:r>
      <w:r w:rsidR="009B190C" w:rsidRPr="00A903AB">
        <w:rPr>
          <w:color w:val="C00000"/>
        </w:rPr>
        <w:t>0</w:t>
      </w:r>
      <w:r w:rsidR="009B190C" w:rsidRPr="00B34EBC">
        <w:t>%,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4"/>
        </w:numPr>
        <w:tabs>
          <w:tab w:val="clear" w:pos="720"/>
          <w:tab w:val="num" w:pos="336"/>
        </w:tabs>
        <w:suppressAutoHyphens w:val="0"/>
        <w:spacing w:after="0" w:line="276" w:lineRule="auto"/>
        <w:ind w:left="1068"/>
        <w:jc w:val="both"/>
      </w:pPr>
      <w:r w:rsidRPr="00B34EBC">
        <w:t>pozost</w:t>
      </w:r>
      <w:r w:rsidR="00A903AB">
        <w:t>ałe fundusze łącznie:  minimum 9</w:t>
      </w:r>
      <w:r w:rsidRPr="00B34EBC">
        <w:t>0%;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6"/>
        </w:numPr>
        <w:tabs>
          <w:tab w:val="clear" w:pos="1068"/>
          <w:tab w:val="num" w:pos="-372"/>
        </w:tabs>
        <w:suppressAutoHyphens w:val="0"/>
        <w:spacing w:after="0" w:line="276" w:lineRule="auto"/>
        <w:ind w:left="708"/>
        <w:jc w:val="both"/>
      </w:pPr>
      <w:r w:rsidRPr="00B34EBC">
        <w:t>przeznacza co najmniej 70% wypracowanego zysku rocznego netto na zwiększenie funduszy własnych banku; poziom odpisów z zysku jest uwarunkowany m.in.: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5"/>
        </w:numPr>
        <w:tabs>
          <w:tab w:val="clear" w:pos="720"/>
          <w:tab w:val="num" w:pos="-12"/>
        </w:tabs>
        <w:suppressAutoHyphens w:val="0"/>
        <w:spacing w:after="0" w:line="276" w:lineRule="auto"/>
        <w:ind w:left="1068"/>
        <w:jc w:val="both"/>
      </w:pPr>
      <w:r w:rsidRPr="00B34EBC">
        <w:t>strategią rozwoju banku,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5"/>
        </w:numPr>
        <w:tabs>
          <w:tab w:val="clear" w:pos="720"/>
          <w:tab w:val="num" w:pos="-12"/>
        </w:tabs>
        <w:suppressAutoHyphens w:val="0"/>
        <w:spacing w:after="0" w:line="276" w:lineRule="auto"/>
        <w:ind w:left="1068"/>
        <w:jc w:val="both"/>
      </w:pPr>
      <w:r w:rsidRPr="00B34EBC">
        <w:t>bieżącą adekwatnością kapitałową banku,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5"/>
        </w:numPr>
        <w:tabs>
          <w:tab w:val="clear" w:pos="720"/>
          <w:tab w:val="num" w:pos="-12"/>
        </w:tabs>
        <w:suppressAutoHyphens w:val="0"/>
        <w:spacing w:after="0" w:line="276" w:lineRule="auto"/>
        <w:ind w:left="1068"/>
        <w:jc w:val="both"/>
      </w:pPr>
      <w:r w:rsidRPr="00B34EBC">
        <w:t>zmiennością wyniku finansowego netto,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5"/>
        </w:numPr>
        <w:tabs>
          <w:tab w:val="clear" w:pos="720"/>
          <w:tab w:val="num" w:pos="-12"/>
        </w:tabs>
        <w:suppressAutoHyphens w:val="0"/>
        <w:spacing w:after="0" w:line="276" w:lineRule="auto"/>
        <w:ind w:left="1068"/>
        <w:jc w:val="both"/>
      </w:pPr>
      <w:r w:rsidRPr="00B34EBC">
        <w:t>obecną i przewidywaną sytuacją makroekonomiczną,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5"/>
        </w:numPr>
        <w:tabs>
          <w:tab w:val="clear" w:pos="720"/>
          <w:tab w:val="num" w:pos="-12"/>
        </w:tabs>
        <w:suppressAutoHyphens w:val="0"/>
        <w:spacing w:after="0" w:line="276" w:lineRule="auto"/>
        <w:ind w:left="1068"/>
        <w:jc w:val="both"/>
      </w:pPr>
      <w:r w:rsidRPr="00B34EBC">
        <w:t>funkcjonowaniem w ramach Systemu Ochrony Instytucjonalnej;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6"/>
        </w:numPr>
        <w:tabs>
          <w:tab w:val="clear" w:pos="1068"/>
          <w:tab w:val="num" w:pos="-372"/>
        </w:tabs>
        <w:suppressAutoHyphens w:val="0"/>
        <w:spacing w:after="0" w:line="276" w:lineRule="auto"/>
        <w:ind w:left="706" w:hanging="357"/>
        <w:jc w:val="both"/>
      </w:pPr>
      <w:r w:rsidRPr="00B34EBC">
        <w:lastRenderedPageBreak/>
        <w:t xml:space="preserve">dąży do uzyskania takiej struktury funduszu udziałowego, aby suma znaczących pakietów udziałów, czyli pakietów przekraczających 5% funduszu udziałowego, nie przekroczyła 30% funduszu udziałowego </w:t>
      </w:r>
      <w:r w:rsidR="00B34EBC" w:rsidRPr="00B34EBC">
        <w:t>B</w:t>
      </w:r>
      <w:r w:rsidRPr="00B34EBC">
        <w:t>anku;</w:t>
      </w:r>
    </w:p>
    <w:p w:rsidR="009B190C" w:rsidRPr="00B34EBC" w:rsidRDefault="009B190C" w:rsidP="00B30231">
      <w:pPr>
        <w:pStyle w:val="Tekstpodstawowy"/>
        <w:widowControl/>
        <w:numPr>
          <w:ilvl w:val="0"/>
          <w:numId w:val="16"/>
        </w:numPr>
        <w:tabs>
          <w:tab w:val="clear" w:pos="1068"/>
          <w:tab w:val="num" w:pos="-654"/>
        </w:tabs>
        <w:suppressAutoHyphens w:val="0"/>
        <w:spacing w:after="0" w:line="276" w:lineRule="auto"/>
        <w:ind w:left="709" w:hanging="357"/>
        <w:jc w:val="both"/>
      </w:pPr>
      <w:r w:rsidRPr="00B34EBC">
        <w:t xml:space="preserve">dąży do uzyskania zaangażowania kapitałowego w akcje Banku Zrzeszającego na poziomie od minimum 7% do maksymalnie </w:t>
      </w:r>
      <w:r w:rsidR="00A903AB">
        <w:t>10</w:t>
      </w:r>
      <w:r w:rsidRPr="00B34EBC">
        <w:t xml:space="preserve">% uznanego kapitału </w:t>
      </w:r>
      <w:r w:rsidR="00B34EBC" w:rsidRPr="00B34EBC">
        <w:t xml:space="preserve"> B</w:t>
      </w:r>
      <w:r w:rsidRPr="00B34EBC">
        <w:t>anku;</w:t>
      </w:r>
    </w:p>
    <w:p w:rsidR="002E2CB0" w:rsidRDefault="002E2CB0" w:rsidP="002E2CB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</w:p>
    <w:p w:rsidR="00AE2D0B" w:rsidRDefault="00AE2D0B" w:rsidP="00AE2D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2CB0" w:rsidRPr="002E2CB0" w:rsidRDefault="002E2CB0" w:rsidP="00AE2D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zarządzania ryzykiem</w:t>
      </w:r>
    </w:p>
    <w:p w:rsidR="002E2CB0" w:rsidRDefault="002E2CB0" w:rsidP="002E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CB0" w:rsidRPr="00B34EBC" w:rsidRDefault="002E2CB0" w:rsidP="002E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W procesie zarządzania ryzykiem w Banku uczestniczą  następujące organy, jednostki i komórki organizacyjne:</w:t>
      </w:r>
    </w:p>
    <w:p w:rsidR="002E2CB0" w:rsidRPr="00B34EBC" w:rsidRDefault="002E2CB0" w:rsidP="00B3023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Rada Nadzorcza, </w:t>
      </w:r>
    </w:p>
    <w:p w:rsidR="002E2CB0" w:rsidRPr="00B34EBC" w:rsidRDefault="002E2CB0" w:rsidP="00B3023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Zarząd,</w:t>
      </w:r>
    </w:p>
    <w:p w:rsidR="002E2CB0" w:rsidRPr="00B34EBC" w:rsidRDefault="00A903AB" w:rsidP="00B3023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Komitet</w:t>
      </w:r>
      <w:r w:rsidR="002E2CB0" w:rsidRPr="00B34EBC">
        <w:rPr>
          <w:rFonts w:ascii="Times New Roman" w:hAnsi="Times New Roman"/>
          <w:sz w:val="24"/>
          <w:szCs w:val="24"/>
        </w:rPr>
        <w:t xml:space="preserve"> Zarządzania Ryzykami i Analiz, </w:t>
      </w:r>
    </w:p>
    <w:p w:rsidR="002E2CB0" w:rsidRPr="00B34EBC" w:rsidRDefault="002E2CB0" w:rsidP="00B3023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Stanowisko </w:t>
      </w:r>
      <w:r w:rsidR="00A903AB">
        <w:rPr>
          <w:rFonts w:ascii="Times New Roman" w:hAnsi="Times New Roman"/>
          <w:sz w:val="24"/>
          <w:szCs w:val="24"/>
        </w:rPr>
        <w:t xml:space="preserve">Zarządzania Ryzykami i </w:t>
      </w:r>
      <w:r w:rsidRPr="00B34EBC">
        <w:rPr>
          <w:rFonts w:ascii="Times New Roman" w:hAnsi="Times New Roman"/>
          <w:sz w:val="24"/>
          <w:szCs w:val="24"/>
        </w:rPr>
        <w:t xml:space="preserve"> </w:t>
      </w:r>
      <w:r w:rsidR="00A903AB">
        <w:rPr>
          <w:rFonts w:ascii="Times New Roman" w:hAnsi="Times New Roman"/>
          <w:sz w:val="24"/>
          <w:szCs w:val="24"/>
        </w:rPr>
        <w:t>Sprawozdawczości</w:t>
      </w:r>
      <w:r w:rsidRPr="00B34EBC">
        <w:rPr>
          <w:rFonts w:ascii="Times New Roman" w:hAnsi="Times New Roman"/>
          <w:sz w:val="24"/>
          <w:szCs w:val="24"/>
        </w:rPr>
        <w:t xml:space="preserve"> </w:t>
      </w:r>
    </w:p>
    <w:p w:rsidR="002E2CB0" w:rsidRPr="00B34EBC" w:rsidRDefault="002E2CB0" w:rsidP="00B3023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Audyt wewnętrzny, realizowany przez Spółdzielnię Sy</w:t>
      </w:r>
      <w:r w:rsidR="00A903AB">
        <w:rPr>
          <w:rFonts w:ascii="Times New Roman" w:hAnsi="Times New Roman"/>
          <w:sz w:val="24"/>
          <w:szCs w:val="24"/>
        </w:rPr>
        <w:t xml:space="preserve">stemu Ochrony Zrzeszenia  BPS </w:t>
      </w:r>
    </w:p>
    <w:p w:rsidR="002E2CB0" w:rsidRPr="00B34EBC" w:rsidRDefault="002E2CB0" w:rsidP="00B3023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Pozostali pracownicy Banku.</w:t>
      </w:r>
    </w:p>
    <w:p w:rsidR="002E2CB0" w:rsidRPr="00B34EBC" w:rsidRDefault="002E2CB0" w:rsidP="002E2CB0">
      <w:pPr>
        <w:spacing w:after="0"/>
        <w:rPr>
          <w:rFonts w:ascii="Times New Roman" w:hAnsi="Times New Roman"/>
          <w:sz w:val="24"/>
          <w:szCs w:val="24"/>
        </w:rPr>
      </w:pPr>
    </w:p>
    <w:p w:rsidR="002E2CB0" w:rsidRPr="00B34EBC" w:rsidRDefault="002E2CB0" w:rsidP="002E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Bank zapewnia niezależność działalności operacyjnej, która generuje ryzyko od niezależnej oceny ryzyka, przeprowadzanej przez </w:t>
      </w:r>
      <w:r w:rsidR="00A903AB">
        <w:rPr>
          <w:rFonts w:ascii="Times New Roman" w:hAnsi="Times New Roman"/>
          <w:sz w:val="24"/>
          <w:szCs w:val="24"/>
        </w:rPr>
        <w:t>Komitet</w:t>
      </w:r>
      <w:r w:rsidRPr="00B34EBC">
        <w:rPr>
          <w:rFonts w:ascii="Times New Roman" w:hAnsi="Times New Roman"/>
          <w:sz w:val="24"/>
          <w:szCs w:val="24"/>
        </w:rPr>
        <w:t xml:space="preserve"> Zarządzania Ryzykami i Analiz.</w:t>
      </w:r>
    </w:p>
    <w:p w:rsidR="002E2CB0" w:rsidRPr="00B34EBC" w:rsidRDefault="002E2CB0" w:rsidP="002E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System kontroli ryzyka stanowi znaczący element systemu zarządzania bankiem i obejmuje:</w:t>
      </w:r>
    </w:p>
    <w:p w:rsidR="002E2CB0" w:rsidRPr="00B34EBC" w:rsidRDefault="002E2CB0" w:rsidP="00B3023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Adekwatny proces identyfikacji i oceny poszczególnych rodzajów ryzyka,</w:t>
      </w:r>
    </w:p>
    <w:p w:rsidR="002E2CB0" w:rsidRPr="00B34EBC" w:rsidRDefault="002E2CB0" w:rsidP="00B3023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 xml:space="preserve"> Strategie, polityki, procedury i plany,</w:t>
      </w:r>
    </w:p>
    <w:p w:rsidR="002E2CB0" w:rsidRPr="00B34EBC" w:rsidRDefault="002E2CB0" w:rsidP="00B3023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Adekwatne systemy informacji zarządczej,</w:t>
      </w:r>
    </w:p>
    <w:p w:rsidR="002E2CB0" w:rsidRPr="00B34EBC" w:rsidRDefault="002E2CB0" w:rsidP="00B3023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34EBC">
        <w:rPr>
          <w:rFonts w:ascii="Times New Roman" w:hAnsi="Times New Roman"/>
          <w:sz w:val="24"/>
          <w:szCs w:val="24"/>
        </w:rPr>
        <w:t>Proces regularnego przeglądu i oceny działania Banku z zasadami polityki/strategii oraz procedurami.</w:t>
      </w:r>
    </w:p>
    <w:p w:rsidR="002E2CB0" w:rsidRDefault="002E2CB0" w:rsidP="002E2CB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</w:p>
    <w:p w:rsidR="002E2CB0" w:rsidRPr="002E2CB0" w:rsidRDefault="002E2CB0" w:rsidP="00B0569E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rPr>
          <w:b/>
        </w:rPr>
      </w:pPr>
      <w:r w:rsidRPr="002E2CB0">
        <w:rPr>
          <w:b/>
        </w:rPr>
        <w:t>System informacji zarządczej</w:t>
      </w:r>
    </w:p>
    <w:p w:rsidR="002E2CB0" w:rsidRPr="002E2CB0" w:rsidRDefault="002E2CB0" w:rsidP="002E2CB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center"/>
        <w:rPr>
          <w:b/>
        </w:rPr>
      </w:pPr>
    </w:p>
    <w:p w:rsidR="002E2CB0" w:rsidRPr="002E2CB0" w:rsidRDefault="002E2CB0" w:rsidP="002E2CB0">
      <w:pPr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Wprowadzony w Banku System Informacji Zarządczej, zwany dalej SIZ, opiera się na następujących założeniach:</w:t>
      </w:r>
    </w:p>
    <w:p w:rsidR="002E2CB0" w:rsidRPr="002E2CB0" w:rsidRDefault="002E2CB0" w:rsidP="00B3023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 xml:space="preserve">Informacje będące przedmiotem </w:t>
      </w:r>
      <w:r>
        <w:rPr>
          <w:rFonts w:ascii="Times New Roman" w:hAnsi="Times New Roman"/>
          <w:sz w:val="24"/>
          <w:szCs w:val="24"/>
        </w:rPr>
        <w:t>raportowania w ramach SIZ</w:t>
      </w:r>
      <w:r w:rsidRPr="002E2CB0">
        <w:rPr>
          <w:rFonts w:ascii="Times New Roman" w:hAnsi="Times New Roman"/>
          <w:sz w:val="24"/>
          <w:szCs w:val="24"/>
        </w:rPr>
        <w:t xml:space="preserve"> pozw</w:t>
      </w:r>
      <w:r>
        <w:rPr>
          <w:rFonts w:ascii="Times New Roman" w:hAnsi="Times New Roman"/>
          <w:sz w:val="24"/>
          <w:szCs w:val="24"/>
        </w:rPr>
        <w:t>alają</w:t>
      </w:r>
      <w:r w:rsidRPr="002E2CB0">
        <w:rPr>
          <w:rFonts w:ascii="Times New Roman" w:hAnsi="Times New Roman"/>
          <w:sz w:val="24"/>
          <w:szCs w:val="24"/>
        </w:rPr>
        <w:t xml:space="preserve"> na pełną ocenę działalności Bank</w:t>
      </w:r>
      <w:r>
        <w:rPr>
          <w:rFonts w:ascii="Times New Roman" w:hAnsi="Times New Roman"/>
          <w:sz w:val="24"/>
          <w:szCs w:val="24"/>
        </w:rPr>
        <w:t>u przez odpowiednie organy statutowe</w:t>
      </w:r>
      <w:r w:rsidRPr="002E2CB0">
        <w:rPr>
          <w:rFonts w:ascii="Times New Roman" w:hAnsi="Times New Roman"/>
          <w:sz w:val="24"/>
          <w:szCs w:val="24"/>
        </w:rPr>
        <w:t>,</w:t>
      </w:r>
    </w:p>
    <w:p w:rsidR="002E2CB0" w:rsidRPr="002E2CB0" w:rsidRDefault="002E2CB0" w:rsidP="00B30231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 xml:space="preserve">Zarząd określa kluczowe obszary polityki zarządzania ryzykami, ze szczególnym uwzględnieniem </w:t>
      </w:r>
      <w:r w:rsidRPr="002E2CB0">
        <w:rPr>
          <w:rFonts w:ascii="Times New Roman" w:eastAsia="Calibri" w:hAnsi="Times New Roman"/>
          <w:sz w:val="24"/>
          <w:szCs w:val="24"/>
        </w:rPr>
        <w:t xml:space="preserve">polityki zarządzania ryzykiem </w:t>
      </w:r>
      <w:r>
        <w:rPr>
          <w:rFonts w:ascii="Times New Roman" w:eastAsia="Calibri" w:hAnsi="Times New Roman"/>
          <w:sz w:val="24"/>
          <w:szCs w:val="24"/>
        </w:rPr>
        <w:t>kredytowym</w:t>
      </w:r>
      <w:r w:rsidRPr="002E2CB0">
        <w:rPr>
          <w:rFonts w:ascii="Times New Roman" w:eastAsia="Calibri" w:hAnsi="Times New Roman"/>
          <w:sz w:val="24"/>
          <w:szCs w:val="24"/>
        </w:rPr>
        <w:t>, które będą podlegać bezpośredniej kontroli Zarządu,</w:t>
      </w:r>
      <w:r w:rsidRPr="002E2CB0">
        <w:rPr>
          <w:rFonts w:ascii="Times New Roman" w:hAnsi="Times New Roman"/>
          <w:sz w:val="24"/>
          <w:szCs w:val="24"/>
        </w:rPr>
        <w:t xml:space="preserve"> </w:t>
      </w:r>
    </w:p>
    <w:p w:rsidR="002E2CB0" w:rsidRPr="002E2CB0" w:rsidRDefault="002E2CB0" w:rsidP="00B3023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uwzględniając założenia zawarte w pkt. 1, powyższe informacje powinny pozwolić na dokonanie odrębnej oceny każdej jednostki i komórki organizacyjnej Banku oraz wszystkich istotnych obszarów działania Banku,</w:t>
      </w:r>
    </w:p>
    <w:p w:rsidR="002E2CB0" w:rsidRPr="002E2CB0" w:rsidRDefault="002E2CB0" w:rsidP="00B3023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przyjmuje się, że nadzór nad funkcjonowaniem SIZ sprawuje Zarząd, który ponosi również odpowiedzialność za jego prawidłowe funkcjonowanie,</w:t>
      </w:r>
    </w:p>
    <w:p w:rsidR="002E2CB0" w:rsidRPr="002E2CB0" w:rsidRDefault="002E2CB0" w:rsidP="00B3023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lastRenderedPageBreak/>
        <w:t>w przyjętym systemie informacje zarządcze przekazywane są w sposób rzetelny i przejrzysty.</w:t>
      </w:r>
    </w:p>
    <w:p w:rsidR="002E2CB0" w:rsidRPr="002E2CB0" w:rsidRDefault="002E2CB0" w:rsidP="00B3023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 xml:space="preserve">Jakość informacji jest oceniana przez Zarząd Banku w oparciu min. o badania biegłego rewidenta, wyniki kontroli wewnętrznej oraz kontroli zewnętrznych. </w:t>
      </w:r>
    </w:p>
    <w:p w:rsidR="002E2CB0" w:rsidRPr="002E2CB0" w:rsidRDefault="002E2CB0" w:rsidP="00B3023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System informacji zarządczej podlega badaniu w ramach audytu wewnętrznego.</w:t>
      </w:r>
    </w:p>
    <w:p w:rsidR="002E2CB0" w:rsidRPr="002E2CB0" w:rsidRDefault="00B0569E" w:rsidP="002E2C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E2CB0" w:rsidRPr="002E2CB0">
        <w:rPr>
          <w:rFonts w:ascii="Times New Roman" w:hAnsi="Times New Roman"/>
          <w:sz w:val="24"/>
          <w:szCs w:val="24"/>
        </w:rPr>
        <w:t>W ramach SIZ wyróżnia się następujące rodzaje informacji:</w:t>
      </w:r>
    </w:p>
    <w:p w:rsidR="002E2CB0" w:rsidRPr="002E2CB0" w:rsidRDefault="002E2CB0" w:rsidP="00B30231">
      <w:pPr>
        <w:numPr>
          <w:ilvl w:val="1"/>
          <w:numId w:val="19"/>
        </w:numPr>
        <w:tabs>
          <w:tab w:val="clear" w:pos="136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o charakterze strategicznym dla Banku,</w:t>
      </w:r>
    </w:p>
    <w:p w:rsidR="002E2CB0" w:rsidRPr="002E2CB0" w:rsidRDefault="002E2CB0" w:rsidP="00B30231">
      <w:pPr>
        <w:numPr>
          <w:ilvl w:val="1"/>
          <w:numId w:val="19"/>
        </w:numPr>
        <w:tabs>
          <w:tab w:val="clear" w:pos="136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dotyczące realizacji celów strategicznych i polityk Banku w zakresie zarządzania ryzykiem oraz adekwatności kapitałowej,</w:t>
      </w:r>
    </w:p>
    <w:p w:rsidR="002E2CB0" w:rsidRPr="002E2CB0" w:rsidRDefault="002E2CB0" w:rsidP="00B30231">
      <w:pPr>
        <w:numPr>
          <w:ilvl w:val="1"/>
          <w:numId w:val="19"/>
        </w:numPr>
        <w:tabs>
          <w:tab w:val="clear" w:pos="136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dotyczące monitorowania poziomu poszczególnych rodzajów ryzyka,</w:t>
      </w:r>
    </w:p>
    <w:p w:rsidR="002E2CB0" w:rsidRPr="002E2CB0" w:rsidRDefault="002E2CB0" w:rsidP="00B30231">
      <w:pPr>
        <w:numPr>
          <w:ilvl w:val="1"/>
          <w:numId w:val="19"/>
        </w:numPr>
        <w:tabs>
          <w:tab w:val="clear" w:pos="136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ocena adekwatności kapitałowej,</w:t>
      </w:r>
    </w:p>
    <w:p w:rsidR="002E2CB0" w:rsidRPr="002E2CB0" w:rsidRDefault="002E2CB0" w:rsidP="00B30231">
      <w:pPr>
        <w:numPr>
          <w:ilvl w:val="1"/>
          <w:numId w:val="19"/>
        </w:numPr>
        <w:tabs>
          <w:tab w:val="clear" w:pos="136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 xml:space="preserve">dotyczące oceny sytuacji ekonomiczno – finansowej Banku (ryzyko biznesowe), uwzględniającej: </w:t>
      </w:r>
    </w:p>
    <w:p w:rsidR="002E2CB0" w:rsidRPr="002E2CB0" w:rsidRDefault="002E2CB0" w:rsidP="00B3023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Wykonanie planu ekonomiczno-finansowego (w tym przez poszczególne jednostki i komórki organizacyjne),</w:t>
      </w:r>
    </w:p>
    <w:p w:rsidR="002E2CB0" w:rsidRPr="002E2CB0" w:rsidRDefault="002E2CB0" w:rsidP="00B3023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strukturę aktywów, pasywów i zobowiązań pozabilansowych,</w:t>
      </w:r>
    </w:p>
    <w:p w:rsidR="002E2CB0" w:rsidRPr="002E2CB0" w:rsidRDefault="002E2CB0" w:rsidP="00B3023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strukturę przychodów i kosztów,</w:t>
      </w:r>
    </w:p>
    <w:p w:rsidR="002E2CB0" w:rsidRPr="002E2CB0" w:rsidRDefault="002E2CB0" w:rsidP="00B3023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wyniki osiągane na każdym poziomie rachunku zysków i strat,</w:t>
      </w:r>
    </w:p>
    <w:p w:rsidR="002E2CB0" w:rsidRPr="002E2CB0" w:rsidRDefault="002E2CB0" w:rsidP="00B3023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uzyskanie wskaźniki ekonomiczne, określające akceptowalny poziom ryzyka.</w:t>
      </w:r>
    </w:p>
    <w:p w:rsidR="002E2CB0" w:rsidRPr="002E2CB0" w:rsidRDefault="002E2CB0" w:rsidP="00B30231">
      <w:pPr>
        <w:numPr>
          <w:ilvl w:val="1"/>
          <w:numId w:val="19"/>
        </w:numPr>
        <w:tabs>
          <w:tab w:val="clear" w:pos="136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realizacji zadań wynikających w regulacji zewnętrznych, w tym rekomendacji nadzorczych,</w:t>
      </w:r>
    </w:p>
    <w:p w:rsidR="002E2CB0" w:rsidRPr="002E2CB0" w:rsidRDefault="002E2CB0" w:rsidP="00B30231">
      <w:pPr>
        <w:numPr>
          <w:ilvl w:val="1"/>
          <w:numId w:val="19"/>
        </w:numPr>
        <w:tabs>
          <w:tab w:val="clear" w:pos="1364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dotyczące realizacji kontroli wewnętrznej i audytu Banku.</w:t>
      </w:r>
    </w:p>
    <w:p w:rsidR="002E2CB0" w:rsidRPr="002E2CB0" w:rsidRDefault="002E2CB0" w:rsidP="002E2CB0">
      <w:pPr>
        <w:jc w:val="both"/>
        <w:rPr>
          <w:rFonts w:ascii="Times New Roman" w:hAnsi="Times New Roman"/>
          <w:sz w:val="24"/>
          <w:szCs w:val="24"/>
        </w:rPr>
      </w:pPr>
    </w:p>
    <w:p w:rsidR="002E2CB0" w:rsidRPr="002E2CB0" w:rsidRDefault="002E2CB0" w:rsidP="00B30231">
      <w:pPr>
        <w:numPr>
          <w:ilvl w:val="1"/>
          <w:numId w:val="21"/>
        </w:numPr>
        <w:tabs>
          <w:tab w:val="clear" w:pos="1440"/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W realizacji</w:t>
      </w:r>
      <w:r>
        <w:rPr>
          <w:rFonts w:ascii="Times New Roman" w:hAnsi="Times New Roman"/>
          <w:sz w:val="24"/>
          <w:szCs w:val="24"/>
        </w:rPr>
        <w:t xml:space="preserve"> systemu</w:t>
      </w:r>
      <w:r w:rsidRPr="002E2CB0">
        <w:rPr>
          <w:rFonts w:ascii="Times New Roman" w:hAnsi="Times New Roman"/>
          <w:sz w:val="24"/>
          <w:szCs w:val="24"/>
        </w:rPr>
        <w:t xml:space="preserve"> informacji zarządczej uczestniczą następujące organy statutowe i komórki organizacyjne Banku:</w:t>
      </w:r>
    </w:p>
    <w:p w:rsidR="002E2CB0" w:rsidRPr="00730267" w:rsidRDefault="002E2CB0" w:rsidP="00B30231">
      <w:pPr>
        <w:numPr>
          <w:ilvl w:val="0"/>
          <w:numId w:val="22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0267">
        <w:rPr>
          <w:rFonts w:ascii="Times New Roman" w:hAnsi="Times New Roman"/>
          <w:color w:val="000000" w:themeColor="text1"/>
          <w:sz w:val="24"/>
          <w:szCs w:val="24"/>
        </w:rPr>
        <w:t>Rada Nadzorcza,</w:t>
      </w:r>
    </w:p>
    <w:p w:rsidR="002E2CB0" w:rsidRPr="00730267" w:rsidRDefault="002E2CB0" w:rsidP="00B30231">
      <w:pPr>
        <w:numPr>
          <w:ilvl w:val="0"/>
          <w:numId w:val="22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0267">
        <w:rPr>
          <w:rFonts w:ascii="Times New Roman" w:hAnsi="Times New Roman"/>
          <w:color w:val="000000" w:themeColor="text1"/>
          <w:sz w:val="24"/>
          <w:szCs w:val="24"/>
        </w:rPr>
        <w:t>Zarząd,</w:t>
      </w:r>
    </w:p>
    <w:p w:rsidR="002E2CB0" w:rsidRPr="00730267" w:rsidRDefault="002E2CB0" w:rsidP="00B30231">
      <w:pPr>
        <w:numPr>
          <w:ilvl w:val="0"/>
          <w:numId w:val="22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0267">
        <w:rPr>
          <w:rFonts w:ascii="Times New Roman" w:hAnsi="Times New Roman"/>
          <w:color w:val="000000" w:themeColor="text1"/>
          <w:sz w:val="24"/>
          <w:szCs w:val="24"/>
        </w:rPr>
        <w:t>Główny Księgowy,</w:t>
      </w:r>
    </w:p>
    <w:p w:rsidR="002E2CB0" w:rsidRPr="00730267" w:rsidRDefault="00730267" w:rsidP="00B30231">
      <w:pPr>
        <w:numPr>
          <w:ilvl w:val="0"/>
          <w:numId w:val="22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0267">
        <w:rPr>
          <w:rFonts w:ascii="Times New Roman" w:hAnsi="Times New Roman"/>
          <w:color w:val="000000" w:themeColor="text1"/>
          <w:sz w:val="24"/>
          <w:szCs w:val="24"/>
        </w:rPr>
        <w:t>Komitet</w:t>
      </w:r>
      <w:r w:rsidR="002E2CB0"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2E2CB0"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arządzania 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2E2CB0"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yzykami i 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E2CB0" w:rsidRPr="00730267">
        <w:rPr>
          <w:rFonts w:ascii="Times New Roman" w:hAnsi="Times New Roman"/>
          <w:color w:val="000000" w:themeColor="text1"/>
          <w:sz w:val="24"/>
          <w:szCs w:val="24"/>
        </w:rPr>
        <w:t>naliz,</w:t>
      </w:r>
    </w:p>
    <w:p w:rsidR="002E2CB0" w:rsidRPr="00730267" w:rsidRDefault="00730267" w:rsidP="00B30231">
      <w:pPr>
        <w:numPr>
          <w:ilvl w:val="0"/>
          <w:numId w:val="22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Stanowisko 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730267">
        <w:rPr>
          <w:rFonts w:ascii="Times New Roman" w:hAnsi="Times New Roman"/>
          <w:color w:val="000000" w:themeColor="text1"/>
          <w:sz w:val="24"/>
          <w:szCs w:val="24"/>
        </w:rPr>
        <w:t>arz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dzania 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yzykami </w:t>
      </w:r>
      <w:r w:rsidR="002E2CB0"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E2CB0" w:rsidRPr="00730267">
        <w:rPr>
          <w:rFonts w:ascii="Times New Roman" w:hAnsi="Times New Roman"/>
          <w:color w:val="000000" w:themeColor="text1"/>
          <w:sz w:val="24"/>
          <w:szCs w:val="24"/>
        </w:rPr>
        <w:t>prawozdawczości,</w:t>
      </w:r>
    </w:p>
    <w:p w:rsidR="002E2CB0" w:rsidRPr="00730267" w:rsidRDefault="002E2CB0" w:rsidP="00B30231">
      <w:pPr>
        <w:numPr>
          <w:ilvl w:val="0"/>
          <w:numId w:val="22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0267">
        <w:rPr>
          <w:rFonts w:ascii="Times New Roman" w:hAnsi="Times New Roman"/>
          <w:color w:val="000000" w:themeColor="text1"/>
          <w:sz w:val="24"/>
          <w:szCs w:val="24"/>
        </w:rPr>
        <w:t>Zespół finansowo-księgowy,</w:t>
      </w:r>
    </w:p>
    <w:p w:rsidR="002E2CB0" w:rsidRPr="00730267" w:rsidRDefault="002E2CB0" w:rsidP="00B30231">
      <w:pPr>
        <w:numPr>
          <w:ilvl w:val="1"/>
          <w:numId w:val="21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 xml:space="preserve">Bieżącą analizę poziomu ryzyka bankowego dokonuje </w:t>
      </w:r>
      <w:r w:rsidR="00AE2D0B">
        <w:rPr>
          <w:rFonts w:ascii="Times New Roman" w:hAnsi="Times New Roman"/>
          <w:sz w:val="24"/>
          <w:szCs w:val="24"/>
        </w:rPr>
        <w:t>Stanowisko</w:t>
      </w:r>
      <w:r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arządzania 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730267">
        <w:rPr>
          <w:rFonts w:ascii="Times New Roman" w:hAnsi="Times New Roman"/>
          <w:color w:val="000000" w:themeColor="text1"/>
          <w:sz w:val="24"/>
          <w:szCs w:val="24"/>
        </w:rPr>
        <w:t xml:space="preserve">yzykami i </w:t>
      </w:r>
      <w:r w:rsidR="00AE2D0B">
        <w:rPr>
          <w:rFonts w:ascii="Times New Roman" w:hAnsi="Times New Roman"/>
          <w:color w:val="000000" w:themeColor="text1"/>
          <w:sz w:val="24"/>
          <w:szCs w:val="24"/>
        </w:rPr>
        <w:t>Sprawozdawczości</w:t>
      </w:r>
      <w:r w:rsidRPr="007302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2CB0" w:rsidRPr="002E2CB0" w:rsidRDefault="002E2CB0" w:rsidP="00B30231">
      <w:pPr>
        <w:numPr>
          <w:ilvl w:val="1"/>
          <w:numId w:val="21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Opracowane analizy dotyczące poszczególnych rodzajów ryzyka oraz adekwatności kapitałowej, przekazywane są Zarządowi według poniższych zasad:</w:t>
      </w:r>
    </w:p>
    <w:p w:rsidR="002E2CB0" w:rsidRPr="002E2CB0" w:rsidRDefault="002E2CB0" w:rsidP="00B3023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Miesięcznie Zarząd otrzymuje skróconą informację na temat ogólnego poziomu ryzyka (analiza wskaźników ogólnego poziomu ryzyka) oraz sytuacji finansowej Banku.</w:t>
      </w:r>
    </w:p>
    <w:p w:rsidR="002E2CB0" w:rsidRPr="002E2CB0" w:rsidRDefault="002E2CB0" w:rsidP="00B3023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W cyklach miesięcznych Zarząd otrzymuje analizę ryzyka płynności i stopy procentowej oraz minimalnego współczynnika kapitału w terminie do 20 dnia miesiąca następującego po miesiącu, którego dotyczą ww. analizy,</w:t>
      </w:r>
    </w:p>
    <w:p w:rsidR="002E2CB0" w:rsidRPr="002E2CB0" w:rsidRDefault="002E2CB0" w:rsidP="00B3023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lastRenderedPageBreak/>
        <w:t>w zakresie poziomu ryzyka kredytowego, analiza kwartalna zostaje przekazana w terminie:</w:t>
      </w:r>
    </w:p>
    <w:p w:rsidR="002E2CB0" w:rsidRPr="002E2CB0" w:rsidRDefault="002E2CB0" w:rsidP="00B30231">
      <w:pPr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 xml:space="preserve">do 30 dnia miesiąca następującego po upływie kwartału, którego dotyczy analiza -  analiza struktury, limitów oraz poziomu rezerw celowych, przeprowadzanie testów warunków skrajnych, </w:t>
      </w:r>
    </w:p>
    <w:p w:rsidR="002E2CB0" w:rsidRPr="002E2CB0" w:rsidRDefault="002E2CB0" w:rsidP="00B30231">
      <w:pPr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do końca  drugiego miesiąca po upływie kwartału w zakresie klasyfikacji ekspozycji kredytowych</w:t>
      </w:r>
    </w:p>
    <w:p w:rsidR="002E2CB0" w:rsidRPr="002E2CB0" w:rsidRDefault="002E2CB0" w:rsidP="00B30231">
      <w:pPr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raz na pół roku do końca pierwszego miesiąca po zakończeniu półrocza - analiza ryzyka ekspozycji zabezpieczonych hipotecznie.</w:t>
      </w:r>
    </w:p>
    <w:p w:rsidR="002E2CB0" w:rsidRPr="002E2CB0" w:rsidRDefault="002E2CB0" w:rsidP="00B30231">
      <w:pPr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do 30 dnia miesiąca następującego po upływie kwartału, którego dotyczy analiza -  analiza restrukturyzacji i windykacji kredytów zagrożonych</w:t>
      </w:r>
    </w:p>
    <w:p w:rsidR="002E2CB0" w:rsidRPr="002E2CB0" w:rsidRDefault="002E2CB0" w:rsidP="00B3023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 xml:space="preserve">W zakresie ryzyka operacyjnego – </w:t>
      </w:r>
      <w:bookmarkStart w:id="3" w:name="OLE_LINK8"/>
      <w:bookmarkStart w:id="4" w:name="OLE_LINK9"/>
      <w:r w:rsidRPr="002E2CB0">
        <w:rPr>
          <w:rFonts w:ascii="Times New Roman" w:hAnsi="Times New Roman"/>
          <w:sz w:val="24"/>
          <w:szCs w:val="24"/>
        </w:rPr>
        <w:t>analiza zostaje przekazana w terminie do 20 dnia miesiąca następującego po upływie kwartału, którego dotyczy analiza</w:t>
      </w:r>
      <w:bookmarkEnd w:id="3"/>
      <w:bookmarkEnd w:id="4"/>
      <w:r w:rsidRPr="002E2CB0">
        <w:rPr>
          <w:rFonts w:ascii="Times New Roman" w:hAnsi="Times New Roman"/>
          <w:sz w:val="24"/>
          <w:szCs w:val="24"/>
        </w:rPr>
        <w:t>,</w:t>
      </w:r>
    </w:p>
    <w:p w:rsidR="002E2CB0" w:rsidRPr="002E2CB0" w:rsidRDefault="002E2CB0" w:rsidP="00B3023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 xml:space="preserve">W zakresie ryzyka braku zgodności - analiza zostaje przekazana Zarządowi oraz Radzie Nadzorczej raz w roku w terminie do </w:t>
      </w:r>
      <w:r w:rsidR="00730267">
        <w:rPr>
          <w:rFonts w:ascii="Times New Roman" w:hAnsi="Times New Roman"/>
          <w:sz w:val="24"/>
          <w:szCs w:val="24"/>
        </w:rPr>
        <w:t>końca miesiąca następującego po półroczu</w:t>
      </w:r>
      <w:r w:rsidRPr="002E2CB0">
        <w:rPr>
          <w:rFonts w:ascii="Times New Roman" w:hAnsi="Times New Roman"/>
          <w:sz w:val="24"/>
          <w:szCs w:val="24"/>
        </w:rPr>
        <w:t xml:space="preserve"> razem z analizą ryzyka operacyjnego,</w:t>
      </w:r>
    </w:p>
    <w:p w:rsidR="002E2CB0" w:rsidRPr="002E2CB0" w:rsidRDefault="002E2CB0" w:rsidP="00B3023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W zakresie adekwatności kapitałowej informacja dla Zarządu przekazywana jest do 20 dnia miesiąca następującego po kwartale, którego dotyczy.</w:t>
      </w:r>
    </w:p>
    <w:p w:rsidR="002E2CB0" w:rsidRPr="002E2CB0" w:rsidRDefault="002E2CB0" w:rsidP="00B3023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Raz w roku do końca grudnia – weryfikacja przyjętych procedur w zakresie zarządzania ryzykami oraz adekwatnością kapitałową, w tym limitów, testów warunków skrajnych, planów awaryjnych itp.</w:t>
      </w:r>
    </w:p>
    <w:p w:rsidR="002E2CB0" w:rsidRPr="002E2CB0" w:rsidRDefault="002E2CB0" w:rsidP="00B30231">
      <w:pPr>
        <w:numPr>
          <w:ilvl w:val="1"/>
          <w:numId w:val="21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Zarząd, uwzględniając dane uzyskiwane od komórek organizacyjnych składa Radzie Nadzorczej sprawozdanie w zakresie poziomu każdego rodzaju ryzyka występującego w Banku oraz adekwatności  kapitałowej w cyklach:</w:t>
      </w:r>
    </w:p>
    <w:p w:rsidR="002E2CB0" w:rsidRPr="002E2CB0" w:rsidRDefault="002E2CB0" w:rsidP="00B3023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na każdym planowanym posiedzeniu Rady Nadzorczej - skróconą informację na temat ogólnego poziomu ryzyka (analiza wskaźników ogólnego poziomu ryzyka) oraz sytuacji finansowej Banku</w:t>
      </w:r>
    </w:p>
    <w:p w:rsidR="002E2CB0" w:rsidRPr="002E2CB0" w:rsidRDefault="002E2CB0" w:rsidP="00B3023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CB0">
        <w:rPr>
          <w:rFonts w:ascii="Times New Roman" w:hAnsi="Times New Roman"/>
          <w:sz w:val="24"/>
          <w:szCs w:val="24"/>
        </w:rPr>
        <w:t>co najmniej raz na pół roku – syntetyczną informację na temat realizacji strategii i polityk w zakresie zarządzania ryzykami oraz adekwatnością kapitałową.</w:t>
      </w:r>
    </w:p>
    <w:p w:rsidR="002E2CB0" w:rsidRDefault="002E2CB0" w:rsidP="002E2CB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center"/>
        <w:rPr>
          <w:b/>
        </w:rPr>
      </w:pPr>
    </w:p>
    <w:p w:rsidR="00E32EC4" w:rsidRDefault="00E32EC4" w:rsidP="002E2CB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center"/>
        <w:rPr>
          <w:b/>
        </w:rPr>
      </w:pPr>
    </w:p>
    <w:p w:rsidR="002E2CB0" w:rsidRDefault="00E32EC4" w:rsidP="00AE2D0B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rPr>
          <w:b/>
        </w:rPr>
      </w:pPr>
      <w:r>
        <w:rPr>
          <w:b/>
        </w:rPr>
        <w:t>System kontroli wewnętrznej</w:t>
      </w:r>
    </w:p>
    <w:p w:rsidR="00E32EC4" w:rsidRDefault="00E32EC4" w:rsidP="002E2CB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center"/>
        <w:rPr>
          <w:b/>
        </w:rPr>
      </w:pPr>
    </w:p>
    <w:p w:rsidR="00BB68F6" w:rsidRPr="006116AA" w:rsidRDefault="00BB68F6" w:rsidP="00BB68F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 xml:space="preserve">Funkcjonujący w Banku system kontroli wewnętrznej </w:t>
      </w:r>
      <w:r>
        <w:rPr>
          <w:rFonts w:ascii="Times New Roman" w:hAnsi="Times New Roman"/>
          <w:sz w:val="24"/>
          <w:szCs w:val="24"/>
        </w:rPr>
        <w:t>jest zgodny z zapisami art. 9c U</w:t>
      </w:r>
      <w:r w:rsidRPr="006116AA">
        <w:rPr>
          <w:rFonts w:ascii="Times New Roman" w:hAnsi="Times New Roman"/>
          <w:sz w:val="24"/>
          <w:szCs w:val="24"/>
        </w:rPr>
        <w:t>stawy Prawo bankowe i składa się z trzech podstawowych elementów:</w:t>
      </w:r>
    </w:p>
    <w:p w:rsidR="00BB68F6" w:rsidRDefault="00BB68F6" w:rsidP="00B30231">
      <w:pPr>
        <w:pStyle w:val="Akapitzlist"/>
        <w:numPr>
          <w:ilvl w:val="0"/>
          <w:numId w:val="26"/>
        </w:numPr>
        <w:tabs>
          <w:tab w:val="clear" w:pos="1440"/>
          <w:tab w:val="left" w:pos="142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 xml:space="preserve">Funkcja kontroli sprawowana przez wszystkich pracowników w ramach tzw. </w:t>
      </w:r>
      <w:r>
        <w:rPr>
          <w:rFonts w:ascii="Times New Roman" w:hAnsi="Times New Roman"/>
          <w:sz w:val="24"/>
          <w:szCs w:val="24"/>
        </w:rPr>
        <w:t>k</w:t>
      </w:r>
      <w:r w:rsidRPr="006116AA">
        <w:rPr>
          <w:rFonts w:ascii="Times New Roman" w:hAnsi="Times New Roman"/>
          <w:sz w:val="24"/>
          <w:szCs w:val="24"/>
        </w:rPr>
        <w:t xml:space="preserve">ontroli bieżącej z wykorzystaniem mechanizmów kontroli wewnętrznej wbudowanej w procedury, produkty </w:t>
      </w:r>
      <w:r>
        <w:rPr>
          <w:rFonts w:ascii="Times New Roman" w:hAnsi="Times New Roman"/>
          <w:sz w:val="24"/>
          <w:szCs w:val="24"/>
        </w:rPr>
        <w:t>oraz</w:t>
      </w:r>
      <w:r w:rsidRPr="006116AA">
        <w:rPr>
          <w:rFonts w:ascii="Times New Roman" w:hAnsi="Times New Roman"/>
          <w:sz w:val="24"/>
          <w:szCs w:val="24"/>
        </w:rPr>
        <w:t xml:space="preserve"> w system informatyczny. W ramach kontroli bieżącej w Banku wdrożono mechanizmy „dual </w:t>
      </w:r>
      <w:proofErr w:type="spellStart"/>
      <w:r w:rsidRPr="006116AA">
        <w:rPr>
          <w:rFonts w:ascii="Times New Roman" w:hAnsi="Times New Roman"/>
          <w:sz w:val="24"/>
          <w:szCs w:val="24"/>
        </w:rPr>
        <w:t>control</w:t>
      </w:r>
      <w:proofErr w:type="spellEnd"/>
      <w:r w:rsidRPr="006116AA">
        <w:rPr>
          <w:rFonts w:ascii="Times New Roman" w:hAnsi="Times New Roman"/>
          <w:sz w:val="24"/>
          <w:szCs w:val="24"/>
        </w:rPr>
        <w:t xml:space="preserve">” zawarte w zasadach dotyczących kolegialności podejmowania istotnych decyzji (w tym decyzji kredytowych), akceptowania dokumentów i transakcji „na drugą rękę”. </w:t>
      </w:r>
      <w:r w:rsidRPr="006116AA">
        <w:rPr>
          <w:rFonts w:ascii="Times New Roman" w:hAnsi="Times New Roman"/>
          <w:sz w:val="24"/>
          <w:szCs w:val="24"/>
        </w:rPr>
        <w:lastRenderedPageBreak/>
        <w:t xml:space="preserve">Kontrola </w:t>
      </w:r>
      <w:r w:rsidRPr="006D6FAA">
        <w:rPr>
          <w:rFonts w:ascii="Times New Roman" w:hAnsi="Times New Roman"/>
          <w:sz w:val="24"/>
          <w:szCs w:val="24"/>
        </w:rPr>
        <w:t>następna jest realizowana w oparciu o zatwierdzane przez Zarząd Banku plany</w:t>
      </w:r>
      <w:r w:rsidRPr="006116AA">
        <w:rPr>
          <w:rFonts w:ascii="Times New Roman" w:hAnsi="Times New Roman"/>
          <w:sz w:val="24"/>
          <w:szCs w:val="24"/>
        </w:rPr>
        <w:t xml:space="preserve"> kontroli wewnętrznej.</w:t>
      </w:r>
    </w:p>
    <w:p w:rsidR="00734B07" w:rsidRDefault="00BB68F6" w:rsidP="00B30231">
      <w:pPr>
        <w:pStyle w:val="Akapitzlist"/>
        <w:numPr>
          <w:ilvl w:val="0"/>
          <w:numId w:val="26"/>
        </w:numPr>
        <w:tabs>
          <w:tab w:val="clear" w:pos="1440"/>
          <w:tab w:val="left" w:pos="142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4B07">
        <w:rPr>
          <w:rFonts w:ascii="Times New Roman" w:hAnsi="Times New Roman"/>
          <w:sz w:val="24"/>
          <w:szCs w:val="24"/>
        </w:rPr>
        <w:t xml:space="preserve">Kontroli (następczej) sprawowanej przez </w:t>
      </w:r>
      <w:r w:rsidR="00734B07">
        <w:rPr>
          <w:rFonts w:ascii="Times New Roman" w:hAnsi="Times New Roman"/>
          <w:sz w:val="24"/>
          <w:szCs w:val="24"/>
        </w:rPr>
        <w:t>Członków Zarządu Banku.</w:t>
      </w:r>
    </w:p>
    <w:p w:rsidR="00BB68F6" w:rsidRPr="00734B07" w:rsidRDefault="00BB68F6" w:rsidP="00B30231">
      <w:pPr>
        <w:pStyle w:val="Akapitzlist"/>
        <w:numPr>
          <w:ilvl w:val="0"/>
          <w:numId w:val="26"/>
        </w:numPr>
        <w:tabs>
          <w:tab w:val="clear" w:pos="1440"/>
          <w:tab w:val="left" w:pos="142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4B07">
        <w:rPr>
          <w:rFonts w:ascii="Times New Roman" w:hAnsi="Times New Roman"/>
          <w:sz w:val="24"/>
          <w:szCs w:val="24"/>
        </w:rPr>
        <w:t xml:space="preserve">Funkcji komórki ds. zgodności – której zadania realizuje Stanowisko </w:t>
      </w:r>
      <w:r w:rsidR="00734B07">
        <w:rPr>
          <w:rFonts w:ascii="Times New Roman" w:hAnsi="Times New Roman"/>
          <w:sz w:val="24"/>
          <w:szCs w:val="24"/>
        </w:rPr>
        <w:t>Zarządzania Ryzykami i Sprawozdawczości</w:t>
      </w:r>
      <w:r w:rsidRPr="00734B07">
        <w:rPr>
          <w:rFonts w:ascii="Times New Roman" w:hAnsi="Times New Roman"/>
          <w:sz w:val="24"/>
          <w:szCs w:val="24"/>
        </w:rPr>
        <w:t xml:space="preserve">, mające za zadanie zapobieganie występowania skutków nie przestrzegania przepisów prawa, regulacji wewnętrznych oraz przyjętych standardów zachowania. </w:t>
      </w:r>
    </w:p>
    <w:p w:rsidR="00BB68F6" w:rsidRPr="006116AA" w:rsidRDefault="00BB68F6" w:rsidP="00B30231">
      <w:pPr>
        <w:pStyle w:val="Akapitzlist"/>
        <w:numPr>
          <w:ilvl w:val="0"/>
          <w:numId w:val="26"/>
        </w:numPr>
        <w:tabs>
          <w:tab w:val="clear" w:pos="1440"/>
          <w:tab w:val="left" w:pos="142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Audytu wewnętrznego, którego zadania Bank powierzył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6AA">
        <w:rPr>
          <w:rFonts w:ascii="Times New Roman" w:hAnsi="Times New Roman"/>
          <w:sz w:val="24"/>
          <w:szCs w:val="24"/>
        </w:rPr>
        <w:t xml:space="preserve">umowy systemu ochrony Spółdzielni </w:t>
      </w:r>
      <w:r>
        <w:rPr>
          <w:rFonts w:ascii="Times New Roman" w:hAnsi="Times New Roman"/>
          <w:sz w:val="24"/>
          <w:szCs w:val="24"/>
        </w:rPr>
        <w:t>Systemu O</w:t>
      </w:r>
      <w:r w:rsidRPr="006116AA">
        <w:rPr>
          <w:rFonts w:ascii="Times New Roman" w:hAnsi="Times New Roman"/>
          <w:sz w:val="24"/>
          <w:szCs w:val="24"/>
        </w:rPr>
        <w:t xml:space="preserve">chrony </w:t>
      </w:r>
      <w:r>
        <w:rPr>
          <w:rFonts w:ascii="Times New Roman" w:hAnsi="Times New Roman"/>
          <w:sz w:val="24"/>
          <w:szCs w:val="24"/>
        </w:rPr>
        <w:t>Zrzeszenia BPS.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Nadzór nad systemem kontroli wewnętrznej sprawuje Rada Nadzorcza, a odpowiedzialność za funkcjonowanie systemu kontroli wewnętrznej ponosi Prezes Zarządu.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W Banku działa system kontroli wewnętrznej, którego celem jest wspomaganie procesów decyzyjnych, przyczyniających się do zapewnienia:</w:t>
      </w:r>
    </w:p>
    <w:p w:rsidR="00BB68F6" w:rsidRPr="006116AA" w:rsidRDefault="00BB68F6" w:rsidP="00B30231">
      <w:pPr>
        <w:numPr>
          <w:ilvl w:val="1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Skuteczności i wydajności działania Banku</w:t>
      </w:r>
      <w:r>
        <w:rPr>
          <w:rFonts w:ascii="Times New Roman" w:hAnsi="Times New Roman"/>
          <w:sz w:val="24"/>
          <w:szCs w:val="24"/>
        </w:rPr>
        <w:t>,</w:t>
      </w:r>
    </w:p>
    <w:p w:rsidR="00BB68F6" w:rsidRPr="006116AA" w:rsidRDefault="00BB68F6" w:rsidP="00B30231">
      <w:pPr>
        <w:numPr>
          <w:ilvl w:val="1"/>
          <w:numId w:val="27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Wiarygodności sprawozdawczości finansowej, nadzorczej oraz informacji zarządczej</w:t>
      </w:r>
      <w:r>
        <w:rPr>
          <w:rFonts w:ascii="Times New Roman" w:hAnsi="Times New Roman"/>
          <w:sz w:val="24"/>
          <w:szCs w:val="24"/>
        </w:rPr>
        <w:t>,</w:t>
      </w:r>
    </w:p>
    <w:p w:rsidR="00BB68F6" w:rsidRPr="006116AA" w:rsidRDefault="00BB68F6" w:rsidP="00B30231">
      <w:pPr>
        <w:numPr>
          <w:ilvl w:val="1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Zgodności działania Banku z przepisami prawa i regulacjami wewnętrznymi</w:t>
      </w:r>
      <w:r>
        <w:rPr>
          <w:rFonts w:ascii="Times New Roman" w:hAnsi="Times New Roman"/>
          <w:sz w:val="24"/>
          <w:szCs w:val="24"/>
        </w:rPr>
        <w:t>,</w:t>
      </w:r>
    </w:p>
    <w:p w:rsidR="00BB68F6" w:rsidRPr="006116AA" w:rsidRDefault="00BB68F6" w:rsidP="00B30231">
      <w:pPr>
        <w:numPr>
          <w:ilvl w:val="1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Bezpieczeństwa środowiska t</w:t>
      </w:r>
      <w:r>
        <w:rPr>
          <w:rFonts w:ascii="Times New Roman" w:hAnsi="Times New Roman"/>
          <w:sz w:val="24"/>
          <w:szCs w:val="24"/>
        </w:rPr>
        <w:t>eleinformatycznego i informacji.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Kontrola wewnętrzna w Banku wykonywana jest w sposób niezależny, obiektywny, odpowie</w:t>
      </w:r>
      <w:r>
        <w:rPr>
          <w:rFonts w:ascii="Times New Roman" w:hAnsi="Times New Roman"/>
          <w:sz w:val="24"/>
          <w:szCs w:val="24"/>
        </w:rPr>
        <w:t xml:space="preserve">dzialny. </w:t>
      </w:r>
      <w:r w:rsidRPr="006116AA">
        <w:rPr>
          <w:rFonts w:ascii="Times New Roman" w:hAnsi="Times New Roman"/>
          <w:sz w:val="24"/>
          <w:szCs w:val="24"/>
        </w:rPr>
        <w:t>Poprzez niezależność kontroli wewnętrznej rozumieć należy warunki działania kontroli wewnętrznej dające gwarancję, że kontrolujący bez żadnych zewnętrznych nacisków przeprowadza kontrolę według ustalonych metod, dokonuje oceny skuteczności procedur i regulaminów oraz sporządza dokumentację pokontrolną. Niezależność umożliwia bezstronny i niedwuznaczny osąd działalności poddanej kontroli.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Obiektywność kontroli rozumiana jest jako niezależna od czynników pozamerytorycznych ocena dokonywana przez kontrolujących, co oznacza</w:t>
      </w:r>
      <w:r>
        <w:rPr>
          <w:rFonts w:ascii="Times New Roman" w:hAnsi="Times New Roman"/>
          <w:sz w:val="24"/>
          <w:szCs w:val="24"/>
        </w:rPr>
        <w:t>,</w:t>
      </w:r>
      <w:r w:rsidRPr="006116AA">
        <w:rPr>
          <w:rFonts w:ascii="Times New Roman" w:hAnsi="Times New Roman"/>
          <w:sz w:val="24"/>
          <w:szCs w:val="24"/>
        </w:rPr>
        <w:t xml:space="preserve"> że kontrolujący nie mogą być stronniczy i nie mogą uzależniać swojej opinii od kwestii kontrolowanego tematu od opinii innych.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Odpowiedzialność kontroli wewnętrznej oznacza dokonywanie prawidłowej oceny, adekwatności, skuteczności oraz efektywności i jakości wewnętrznych systemów Banku, co oznacza prezentowanie w dokumentacji pokontrolnej sprawdzonych zadań, które wymagają podjęcia działań naprawczych, unikanie niedomówień i nieścisłości.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 xml:space="preserve">Rada Nadzorcza Banku zapewnia, aby kontrola wewnętrzna i audyt były sprawowane z zachowaniem zasad zapewniających unikanie konfliktów interesów, w tym z zachowaniem </w:t>
      </w:r>
      <w:r w:rsidRPr="006116AA">
        <w:rPr>
          <w:rFonts w:ascii="Times New Roman" w:hAnsi="Times New Roman"/>
          <w:sz w:val="24"/>
          <w:szCs w:val="24"/>
        </w:rPr>
        <w:lastRenderedPageBreak/>
        <w:t>zasady, że osoby przeprowadzające kontrolę wewnętrzną i audyt nie powinny być powiązane personalnie z osobami kontrolowanymi.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Funkcjonujący w Banku system kontroli wewnętrznej jest dostosowany do ogólnego profilu ryzyka tj., obejmuje w szczególności obszary obarczone wysokim ryzykiem.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 xml:space="preserve">Przez obszary generujące wysokie ryzyko należy rozumieć te obszary działania, gdzie istnieje potencjalne niebezpieczeństwo wystąpienia nieprawidłowości, które mogą wywołać niepożądane skutki finansowe lub negatywne zjawiska godzące w bezpieczeństwo i reputację funkcjonowania Banku. W szczególności do obszarów obarczonych wysokim ryzykiem w </w:t>
      </w:r>
      <w:r>
        <w:rPr>
          <w:rFonts w:ascii="Times New Roman" w:hAnsi="Times New Roman"/>
          <w:sz w:val="24"/>
          <w:szCs w:val="24"/>
        </w:rPr>
        <w:t>B</w:t>
      </w:r>
      <w:r w:rsidRPr="006116AA">
        <w:rPr>
          <w:rFonts w:ascii="Times New Roman" w:hAnsi="Times New Roman"/>
          <w:sz w:val="24"/>
          <w:szCs w:val="24"/>
        </w:rPr>
        <w:t>anku zalicza się działalność kredytową, obsługę klienta, rozliczenia, działalność kasowo-skarbcową, zarządzanie bankiem.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W ramach systemu kontroli wewnętrznej Bank identyfikuje i ocenia ryzyko bankowe. Proces efektywnej oceny ryzyka obejmuje:</w:t>
      </w:r>
    </w:p>
    <w:p w:rsidR="00BB68F6" w:rsidRDefault="00BB68F6" w:rsidP="00AE2D0B">
      <w:pPr>
        <w:numPr>
          <w:ilvl w:val="1"/>
          <w:numId w:val="28"/>
        </w:numPr>
        <w:tabs>
          <w:tab w:val="left" w:pos="142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określenie rodzaju i poziomu ryzyka, na które narażony jest Bank</w:t>
      </w:r>
      <w:r>
        <w:rPr>
          <w:rFonts w:ascii="Times New Roman" w:hAnsi="Times New Roman"/>
          <w:sz w:val="24"/>
          <w:szCs w:val="24"/>
        </w:rPr>
        <w:t>,</w:t>
      </w:r>
    </w:p>
    <w:p w:rsidR="00BB68F6" w:rsidRDefault="00BB68F6" w:rsidP="00AE2D0B">
      <w:pPr>
        <w:numPr>
          <w:ilvl w:val="1"/>
          <w:numId w:val="28"/>
        </w:numPr>
        <w:tabs>
          <w:tab w:val="left" w:pos="142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13B44">
        <w:rPr>
          <w:rFonts w:ascii="Times New Roman" w:hAnsi="Times New Roman"/>
          <w:sz w:val="24"/>
          <w:szCs w:val="24"/>
        </w:rPr>
        <w:t>wyznaczenie limitów i poziomu ryzyka oraz kontrola ich przestrzegania,</w:t>
      </w:r>
    </w:p>
    <w:p w:rsidR="00BB68F6" w:rsidRDefault="00BB68F6" w:rsidP="00AE2D0B">
      <w:pPr>
        <w:numPr>
          <w:ilvl w:val="1"/>
          <w:numId w:val="28"/>
        </w:numPr>
        <w:tabs>
          <w:tab w:val="left" w:pos="142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13B44">
        <w:rPr>
          <w:rFonts w:ascii="Times New Roman" w:hAnsi="Times New Roman"/>
          <w:sz w:val="24"/>
          <w:szCs w:val="24"/>
        </w:rPr>
        <w:t>analizę czynników wewnętrznych i zewnętrznych, które mogą niekorzystnie wpłynąć na poziom ryzyka,</w:t>
      </w:r>
    </w:p>
    <w:p w:rsidR="00BB68F6" w:rsidRDefault="00BB68F6" w:rsidP="00AE2D0B">
      <w:pPr>
        <w:numPr>
          <w:ilvl w:val="1"/>
          <w:numId w:val="28"/>
        </w:numPr>
        <w:tabs>
          <w:tab w:val="left" w:pos="142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13B44">
        <w:rPr>
          <w:rFonts w:ascii="Times New Roman" w:hAnsi="Times New Roman"/>
          <w:sz w:val="24"/>
          <w:szCs w:val="24"/>
        </w:rPr>
        <w:t>określenie możliwości Banku w ograniczaniu skutków zaistniałych zdarzeń podwyższających  poziom ryzyka oraz w zapobieganiu wystąpienia takich zdarzeń w przyszłości</w:t>
      </w:r>
      <w:r>
        <w:rPr>
          <w:rFonts w:ascii="Times New Roman" w:hAnsi="Times New Roman"/>
          <w:sz w:val="24"/>
          <w:szCs w:val="24"/>
        </w:rPr>
        <w:t>,</w:t>
      </w:r>
    </w:p>
    <w:p w:rsidR="00BB68F6" w:rsidRDefault="00BB68F6" w:rsidP="00AE2D0B">
      <w:pPr>
        <w:numPr>
          <w:ilvl w:val="1"/>
          <w:numId w:val="28"/>
        </w:numPr>
        <w:tabs>
          <w:tab w:val="left" w:pos="142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13B44">
        <w:rPr>
          <w:rFonts w:ascii="Times New Roman" w:hAnsi="Times New Roman"/>
          <w:sz w:val="24"/>
          <w:szCs w:val="24"/>
        </w:rPr>
        <w:t>wskazanie, w jakim zakresie i z jaką częstotliwością Bank powinien kontrolować określone rodzaje ryzyka</w:t>
      </w:r>
      <w:r>
        <w:rPr>
          <w:rFonts w:ascii="Times New Roman" w:hAnsi="Times New Roman"/>
          <w:sz w:val="24"/>
          <w:szCs w:val="24"/>
        </w:rPr>
        <w:t>,</w:t>
      </w:r>
    </w:p>
    <w:p w:rsidR="00BB68F6" w:rsidRDefault="00BB68F6" w:rsidP="00AE2D0B">
      <w:pPr>
        <w:numPr>
          <w:ilvl w:val="1"/>
          <w:numId w:val="28"/>
        </w:numPr>
        <w:tabs>
          <w:tab w:val="left" w:pos="142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13B44">
        <w:rPr>
          <w:rFonts w:ascii="Times New Roman" w:hAnsi="Times New Roman"/>
          <w:sz w:val="24"/>
          <w:szCs w:val="24"/>
        </w:rPr>
        <w:t>określenie, które elementy ryzyka podlegają ocenie jakościow</w:t>
      </w:r>
      <w:r>
        <w:rPr>
          <w:rFonts w:ascii="Times New Roman" w:hAnsi="Times New Roman"/>
          <w:sz w:val="24"/>
          <w:szCs w:val="24"/>
        </w:rPr>
        <w:t>ej, a które ocenie ilościowej.</w:t>
      </w:r>
    </w:p>
    <w:p w:rsidR="00BB68F6" w:rsidRPr="006116AA" w:rsidRDefault="00BB68F6" w:rsidP="00BB68F6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6AA">
        <w:rPr>
          <w:rFonts w:ascii="Times New Roman" w:hAnsi="Times New Roman"/>
          <w:sz w:val="24"/>
          <w:szCs w:val="24"/>
        </w:rPr>
        <w:t>Czynności kontrolne stanowią integralną część codziennej działalności wszystkich pracowników banku oraz umożliwiają szybkie reakcje na zmieniające się warunki.</w:t>
      </w:r>
    </w:p>
    <w:p w:rsidR="00E32EC4" w:rsidRDefault="00E32EC4" w:rsidP="002E2CB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center"/>
        <w:rPr>
          <w:b/>
        </w:rPr>
      </w:pPr>
    </w:p>
    <w:p w:rsidR="00BA2950" w:rsidRDefault="00BA2950" w:rsidP="00AE2D0B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rPr>
          <w:b/>
        </w:rPr>
      </w:pPr>
      <w:r>
        <w:rPr>
          <w:b/>
        </w:rPr>
        <w:t>Polityka wynagradzania</w:t>
      </w:r>
    </w:p>
    <w:p w:rsidR="00BA2950" w:rsidRDefault="00BA2950" w:rsidP="002E2CB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center"/>
        <w:rPr>
          <w:b/>
        </w:rPr>
      </w:pPr>
    </w:p>
    <w:p w:rsidR="00EC4AA9" w:rsidRDefault="00BA2950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  <w:r>
        <w:t xml:space="preserve">Od dnia </w:t>
      </w:r>
      <w:r w:rsidR="005F52FF">
        <w:t>01.05.2017r.</w:t>
      </w:r>
      <w:r>
        <w:t xml:space="preserve"> w Banku obowiązuje Polityka wynagradzania osób, których działalność zawodowa ma istotny wpływ na poziom ryzyka w Banku Spółdzielczym w </w:t>
      </w:r>
      <w:r w:rsidR="00EC4AA9">
        <w:t xml:space="preserve">Chłopicach </w:t>
      </w:r>
    </w:p>
    <w:p w:rsidR="00BA2950" w:rsidRDefault="00BA2950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  <w:r>
        <w:t>W Banku nie wy</w:t>
      </w:r>
      <w:r w:rsidR="00F73853">
        <w:t>ł</w:t>
      </w:r>
      <w:r>
        <w:t xml:space="preserve">oniono z Rady Nadzorczej Komitetu ds. wynagrodzeń. W 2016r. Rada Nadzorcza obradowała </w:t>
      </w:r>
      <w:r w:rsidR="00C1253B">
        <w:t>2</w:t>
      </w:r>
      <w:r>
        <w:t xml:space="preserve"> </w:t>
      </w:r>
      <w:r w:rsidR="00F73853">
        <w:t>r</w:t>
      </w:r>
      <w:r>
        <w:t>azy w sprawie wynagrodzeń.</w:t>
      </w:r>
    </w:p>
    <w:p w:rsidR="00BA2950" w:rsidRDefault="00BA2950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</w:p>
    <w:p w:rsidR="00BA2950" w:rsidRDefault="00B0569E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  <w:r>
        <w:t xml:space="preserve">Chłopice, dnia </w:t>
      </w:r>
      <w:r w:rsidR="000A39D5">
        <w:t>26.05.2017r.</w:t>
      </w:r>
    </w:p>
    <w:p w:rsidR="00B0569E" w:rsidRDefault="00B0569E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</w:p>
    <w:p w:rsidR="00BA2950" w:rsidRDefault="00EC4AA9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  <w:r>
        <w:t>Sporządził</w:t>
      </w:r>
      <w:r w:rsidR="00B0569E">
        <w:t>a</w:t>
      </w:r>
      <w:r>
        <w:t xml:space="preserve">: </w:t>
      </w:r>
      <w:r w:rsidR="00B0569E">
        <w:t xml:space="preserve">  Malwina Klepak  -  </w:t>
      </w:r>
      <w:r w:rsidR="00AE2D0B">
        <w:t>SZR i S</w:t>
      </w:r>
      <w:r w:rsidR="00B0569E">
        <w:t>/ Stanowisko</w:t>
      </w:r>
      <w:r w:rsidR="00BA2950">
        <w:t xml:space="preserve"> ds. zgodności</w:t>
      </w:r>
    </w:p>
    <w:p w:rsidR="00BA2950" w:rsidRDefault="00BA2950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  <w:r>
        <w:t xml:space="preserve">Akceptował: </w:t>
      </w:r>
      <w:r w:rsidR="00B0569E">
        <w:t xml:space="preserve">  Wanda  Kość  -   </w:t>
      </w:r>
      <w:r>
        <w:t>Prezes Zarządu</w:t>
      </w:r>
    </w:p>
    <w:p w:rsidR="00B0569E" w:rsidRDefault="00B0569E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  <w:r>
        <w:t xml:space="preserve">                                                                              </w:t>
      </w:r>
    </w:p>
    <w:p w:rsidR="00BA2950" w:rsidRDefault="00B0569E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  <w:r>
        <w:t xml:space="preserve">                                                                          </w:t>
      </w:r>
      <w:r w:rsidR="00BA2950">
        <w:t>Zatwierdził:</w:t>
      </w:r>
      <w:r>
        <w:t xml:space="preserve">   </w:t>
      </w:r>
      <w:r w:rsidR="00BA2950">
        <w:t xml:space="preserve"> Zarząd</w:t>
      </w:r>
      <w:r>
        <w:t>/Rada  Nadzorcza</w:t>
      </w:r>
    </w:p>
    <w:p w:rsidR="000A39D5" w:rsidRDefault="000A39D5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  <w:r>
        <w:t>Akceptacja -  Posiedzenie Zarządu Banku:  02.06.2017r.</w:t>
      </w:r>
    </w:p>
    <w:p w:rsidR="000A39D5" w:rsidRDefault="000A39D5" w:rsidP="00BA2950">
      <w:pPr>
        <w:pStyle w:val="Tekstpodstawowy"/>
        <w:widowControl/>
        <w:tabs>
          <w:tab w:val="num" w:pos="709"/>
        </w:tabs>
        <w:suppressAutoHyphens w:val="0"/>
        <w:spacing w:after="0" w:line="276" w:lineRule="auto"/>
        <w:jc w:val="both"/>
      </w:pPr>
      <w:r>
        <w:t>Zatwierdzenie- Posiedzenie Rady Nadzorczej Banku  10.07.2017r.</w:t>
      </w:r>
    </w:p>
    <w:p w:rsidR="00BA2950" w:rsidRPr="00BA2950" w:rsidRDefault="00BA2950" w:rsidP="00BA2950">
      <w:pPr>
        <w:pStyle w:val="Tekstpodstawowy"/>
        <w:widowControl/>
        <w:suppressAutoHyphens w:val="0"/>
        <w:spacing w:after="0" w:line="276" w:lineRule="auto"/>
        <w:jc w:val="both"/>
      </w:pPr>
    </w:p>
    <w:sectPr w:rsidR="00BA2950" w:rsidRPr="00BA2950" w:rsidSect="006B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E11"/>
    <w:multiLevelType w:val="hybridMultilevel"/>
    <w:tmpl w:val="723A9190"/>
    <w:lvl w:ilvl="0" w:tplc="EDA204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C1705"/>
    <w:multiLevelType w:val="hybridMultilevel"/>
    <w:tmpl w:val="8EF8637E"/>
    <w:lvl w:ilvl="0" w:tplc="174AE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38C0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9B2"/>
    <w:multiLevelType w:val="hybridMultilevel"/>
    <w:tmpl w:val="532E9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12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01F6D"/>
    <w:multiLevelType w:val="hybridMultilevel"/>
    <w:tmpl w:val="BFB2B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83703"/>
    <w:multiLevelType w:val="hybridMultilevel"/>
    <w:tmpl w:val="7A4E8F42"/>
    <w:lvl w:ilvl="0" w:tplc="0238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C28B2"/>
    <w:multiLevelType w:val="singleLevel"/>
    <w:tmpl w:val="64629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DEF4CF2"/>
    <w:multiLevelType w:val="hybridMultilevel"/>
    <w:tmpl w:val="004840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7FA2D686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2033472"/>
    <w:multiLevelType w:val="hybridMultilevel"/>
    <w:tmpl w:val="5A18B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E62D6"/>
    <w:multiLevelType w:val="hybridMultilevel"/>
    <w:tmpl w:val="E896482C"/>
    <w:lvl w:ilvl="0" w:tplc="DEECA4F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183313F5"/>
    <w:multiLevelType w:val="multilevel"/>
    <w:tmpl w:val="9E70C1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0">
    <w:nsid w:val="1B98563A"/>
    <w:multiLevelType w:val="hybridMultilevel"/>
    <w:tmpl w:val="5E067462"/>
    <w:lvl w:ilvl="0" w:tplc="0008A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B54A4F"/>
    <w:multiLevelType w:val="hybridMultilevel"/>
    <w:tmpl w:val="CA247E52"/>
    <w:lvl w:ilvl="0" w:tplc="C73AA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AA689C"/>
    <w:multiLevelType w:val="hybridMultilevel"/>
    <w:tmpl w:val="E92E44BA"/>
    <w:lvl w:ilvl="0" w:tplc="8604A7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082AE0"/>
    <w:multiLevelType w:val="hybridMultilevel"/>
    <w:tmpl w:val="74102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CF1"/>
    <w:multiLevelType w:val="hybridMultilevel"/>
    <w:tmpl w:val="FEACCF8E"/>
    <w:lvl w:ilvl="0" w:tplc="1EE0E7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627BC8"/>
    <w:multiLevelType w:val="hybridMultilevel"/>
    <w:tmpl w:val="88E2C2E6"/>
    <w:lvl w:ilvl="0" w:tplc="EDA20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8C08AA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C69DF"/>
    <w:multiLevelType w:val="multilevel"/>
    <w:tmpl w:val="7EA633A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7">
    <w:nsid w:val="35D90653"/>
    <w:multiLevelType w:val="hybridMultilevel"/>
    <w:tmpl w:val="4D6A63BE"/>
    <w:lvl w:ilvl="0" w:tplc="4D447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596745"/>
    <w:multiLevelType w:val="multilevel"/>
    <w:tmpl w:val="3F16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DE116F2"/>
    <w:multiLevelType w:val="hybridMultilevel"/>
    <w:tmpl w:val="D6D8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01606"/>
    <w:multiLevelType w:val="hybridMultilevel"/>
    <w:tmpl w:val="18C0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139B1"/>
    <w:multiLevelType w:val="hybridMultilevel"/>
    <w:tmpl w:val="18107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F75CDE"/>
    <w:multiLevelType w:val="hybridMultilevel"/>
    <w:tmpl w:val="D18439EA"/>
    <w:lvl w:ilvl="0" w:tplc="4768E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17959"/>
    <w:multiLevelType w:val="hybridMultilevel"/>
    <w:tmpl w:val="4B323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F75120"/>
    <w:multiLevelType w:val="hybridMultilevel"/>
    <w:tmpl w:val="DD6E673C"/>
    <w:lvl w:ilvl="0" w:tplc="60F8A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D08F5"/>
    <w:multiLevelType w:val="hybridMultilevel"/>
    <w:tmpl w:val="B9244BD8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C83FB7"/>
    <w:multiLevelType w:val="multilevel"/>
    <w:tmpl w:val="B9DE0B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7">
    <w:nsid w:val="512A7092"/>
    <w:multiLevelType w:val="hybridMultilevel"/>
    <w:tmpl w:val="76B2042A"/>
    <w:lvl w:ilvl="0" w:tplc="E586D316">
      <w:start w:val="1"/>
      <w:numFmt w:val="decimal"/>
      <w:lvlText w:val="%1) "/>
      <w:lvlJc w:val="left"/>
      <w:pPr>
        <w:tabs>
          <w:tab w:val="num" w:pos="1455"/>
        </w:tabs>
        <w:ind w:left="1455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1A7EB03A">
      <w:start w:val="1"/>
      <w:numFmt w:val="decimal"/>
      <w:lvlText w:val="%2) 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C77BB"/>
    <w:multiLevelType w:val="hybridMultilevel"/>
    <w:tmpl w:val="312A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05299"/>
    <w:multiLevelType w:val="hybridMultilevel"/>
    <w:tmpl w:val="1C960848"/>
    <w:lvl w:ilvl="0" w:tplc="5C6A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243243"/>
    <w:multiLevelType w:val="singleLevel"/>
    <w:tmpl w:val="D988CF3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569C683D"/>
    <w:multiLevelType w:val="hybridMultilevel"/>
    <w:tmpl w:val="6310C6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6BA5386"/>
    <w:multiLevelType w:val="hybridMultilevel"/>
    <w:tmpl w:val="5120C798"/>
    <w:lvl w:ilvl="0" w:tplc="D9D21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A1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F6F15"/>
    <w:multiLevelType w:val="multilevel"/>
    <w:tmpl w:val="9A788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C3C44CF"/>
    <w:multiLevelType w:val="hybridMultilevel"/>
    <w:tmpl w:val="FA4A91C8"/>
    <w:lvl w:ilvl="0" w:tplc="4768E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01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723DC"/>
    <w:multiLevelType w:val="hybridMultilevel"/>
    <w:tmpl w:val="DDDCF69C"/>
    <w:lvl w:ilvl="0" w:tplc="0415000F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EA75E4"/>
    <w:multiLevelType w:val="hybridMultilevel"/>
    <w:tmpl w:val="D91C8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7">
    <w:nsid w:val="6EA05248"/>
    <w:multiLevelType w:val="hybridMultilevel"/>
    <w:tmpl w:val="35C6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3683"/>
    <w:multiLevelType w:val="singleLevel"/>
    <w:tmpl w:val="64629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746D5B10"/>
    <w:multiLevelType w:val="hybridMultilevel"/>
    <w:tmpl w:val="469ADB70"/>
    <w:lvl w:ilvl="0" w:tplc="4D5C25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57F5845"/>
    <w:multiLevelType w:val="hybridMultilevel"/>
    <w:tmpl w:val="4D24DCE0"/>
    <w:lvl w:ilvl="0" w:tplc="0415000F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9"/>
  </w:num>
  <w:num w:numId="5">
    <w:abstractNumId w:val="8"/>
  </w:num>
  <w:num w:numId="6">
    <w:abstractNumId w:val="15"/>
  </w:num>
  <w:num w:numId="7">
    <w:abstractNumId w:val="11"/>
  </w:num>
  <w:num w:numId="8">
    <w:abstractNumId w:val="16"/>
  </w:num>
  <w:num w:numId="9">
    <w:abstractNumId w:val="10"/>
  </w:num>
  <w:num w:numId="10">
    <w:abstractNumId w:val="26"/>
  </w:num>
  <w:num w:numId="11">
    <w:abstractNumId w:val="9"/>
  </w:num>
  <w:num w:numId="12">
    <w:abstractNumId w:val="30"/>
  </w:num>
  <w:num w:numId="13">
    <w:abstractNumId w:val="33"/>
  </w:num>
  <w:num w:numId="14">
    <w:abstractNumId w:val="5"/>
  </w:num>
  <w:num w:numId="15">
    <w:abstractNumId w:val="38"/>
  </w:num>
  <w:num w:numId="16">
    <w:abstractNumId w:val="14"/>
  </w:num>
  <w:num w:numId="17">
    <w:abstractNumId w:val="37"/>
  </w:num>
  <w:num w:numId="18">
    <w:abstractNumId w:val="12"/>
  </w:num>
  <w:num w:numId="19">
    <w:abstractNumId w:val="27"/>
  </w:num>
  <w:num w:numId="20">
    <w:abstractNumId w:val="4"/>
  </w:num>
  <w:num w:numId="21">
    <w:abstractNumId w:val="32"/>
  </w:num>
  <w:num w:numId="22">
    <w:abstractNumId w:val="39"/>
  </w:num>
  <w:num w:numId="23">
    <w:abstractNumId w:val="34"/>
  </w:num>
  <w:num w:numId="24">
    <w:abstractNumId w:val="22"/>
  </w:num>
  <w:num w:numId="25">
    <w:abstractNumId w:val="31"/>
  </w:num>
  <w:num w:numId="26">
    <w:abstractNumId w:val="24"/>
  </w:num>
  <w:num w:numId="27">
    <w:abstractNumId w:val="7"/>
  </w:num>
  <w:num w:numId="28">
    <w:abstractNumId w:val="6"/>
  </w:num>
  <w:num w:numId="29">
    <w:abstractNumId w:val="21"/>
  </w:num>
  <w:num w:numId="30">
    <w:abstractNumId w:val="0"/>
  </w:num>
  <w:num w:numId="31">
    <w:abstractNumId w:val="1"/>
  </w:num>
  <w:num w:numId="32">
    <w:abstractNumId w:val="36"/>
  </w:num>
  <w:num w:numId="33">
    <w:abstractNumId w:val="25"/>
  </w:num>
  <w:num w:numId="34">
    <w:abstractNumId w:val="40"/>
  </w:num>
  <w:num w:numId="35">
    <w:abstractNumId w:val="3"/>
  </w:num>
  <w:num w:numId="36">
    <w:abstractNumId w:val="28"/>
  </w:num>
  <w:num w:numId="37">
    <w:abstractNumId w:val="35"/>
  </w:num>
  <w:num w:numId="38">
    <w:abstractNumId w:val="23"/>
  </w:num>
  <w:num w:numId="39">
    <w:abstractNumId w:val="19"/>
  </w:num>
  <w:num w:numId="40">
    <w:abstractNumId w:val="18"/>
  </w:num>
  <w:num w:numId="4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552"/>
    <w:rsid w:val="000A39D5"/>
    <w:rsid w:val="001B68FE"/>
    <w:rsid w:val="001B7924"/>
    <w:rsid w:val="001C4D60"/>
    <w:rsid w:val="0023228E"/>
    <w:rsid w:val="00237FD0"/>
    <w:rsid w:val="00282715"/>
    <w:rsid w:val="002A3552"/>
    <w:rsid w:val="002E2CB0"/>
    <w:rsid w:val="0031014E"/>
    <w:rsid w:val="003121BF"/>
    <w:rsid w:val="003376BA"/>
    <w:rsid w:val="003719BB"/>
    <w:rsid w:val="003A67C4"/>
    <w:rsid w:val="003F2252"/>
    <w:rsid w:val="00440517"/>
    <w:rsid w:val="0047590D"/>
    <w:rsid w:val="0051540A"/>
    <w:rsid w:val="005F52FF"/>
    <w:rsid w:val="006A766B"/>
    <w:rsid w:val="006B54EF"/>
    <w:rsid w:val="00730267"/>
    <w:rsid w:val="00734B07"/>
    <w:rsid w:val="0074026D"/>
    <w:rsid w:val="007800A1"/>
    <w:rsid w:val="00841588"/>
    <w:rsid w:val="00857419"/>
    <w:rsid w:val="00862BD1"/>
    <w:rsid w:val="008C1D33"/>
    <w:rsid w:val="0099069E"/>
    <w:rsid w:val="009B190C"/>
    <w:rsid w:val="009C65FD"/>
    <w:rsid w:val="00A903AB"/>
    <w:rsid w:val="00AE2D0B"/>
    <w:rsid w:val="00B0569E"/>
    <w:rsid w:val="00B30231"/>
    <w:rsid w:val="00B34EBC"/>
    <w:rsid w:val="00BA2950"/>
    <w:rsid w:val="00BB68F6"/>
    <w:rsid w:val="00C1253B"/>
    <w:rsid w:val="00C402AD"/>
    <w:rsid w:val="00CB0B8B"/>
    <w:rsid w:val="00CD64B4"/>
    <w:rsid w:val="00D21DE5"/>
    <w:rsid w:val="00DD04E7"/>
    <w:rsid w:val="00E32EC4"/>
    <w:rsid w:val="00EC4AA9"/>
    <w:rsid w:val="00EF132B"/>
    <w:rsid w:val="00F73853"/>
    <w:rsid w:val="00F81120"/>
    <w:rsid w:val="00FA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5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55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55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35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A3552"/>
    <w:pPr>
      <w:spacing w:after="0" w:line="240" w:lineRule="auto"/>
      <w:ind w:left="426" w:hanging="426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3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rsid w:val="009B190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90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1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90C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90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B190C"/>
    <w:pPr>
      <w:suppressAutoHyphens/>
      <w:autoSpaceDE w:val="0"/>
      <w:spacing w:after="0" w:line="264" w:lineRule="auto"/>
      <w:jc w:val="both"/>
    </w:pPr>
    <w:rPr>
      <w:rFonts w:ascii="Times New Roman" w:hAnsi="Times New Roman"/>
      <w:position w:val="-9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5552</Words>
  <Characters>33314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Wanda</cp:lastModifiedBy>
  <cp:revision>19</cp:revision>
  <dcterms:created xsi:type="dcterms:W3CDTF">2017-05-08T15:09:00Z</dcterms:created>
  <dcterms:modified xsi:type="dcterms:W3CDTF">2017-10-06T11:27:00Z</dcterms:modified>
</cp:coreProperties>
</file>